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92" w:rsidRDefault="007A51B4">
      <w:pPr>
        <w:pStyle w:val="Default"/>
        <w:rPr>
          <w:color w:val="auto"/>
        </w:rPr>
      </w:pPr>
      <w:r>
        <w:t>Elkészítés idő</w:t>
      </w:r>
      <w:r w:rsidR="001D396B">
        <w:t>pontja:2013</w:t>
      </w:r>
      <w:r>
        <w:t xml:space="preserve">.01.05 </w:t>
      </w:r>
    </w:p>
    <w:p w:rsidR="00523292" w:rsidRDefault="007A51B4">
      <w:pPr>
        <w:pStyle w:val="CM13"/>
        <w:jc w:val="center"/>
        <w:rPr>
          <w:b/>
          <w:bCs/>
        </w:rPr>
      </w:pPr>
      <w:r>
        <w:rPr>
          <w:b/>
          <w:bCs/>
        </w:rPr>
        <w:t xml:space="preserve">BIZTONSÁGI ADATLAP </w:t>
      </w:r>
    </w:p>
    <w:p w:rsidR="00442C16" w:rsidRDefault="00442C16" w:rsidP="00442C16">
      <w:pPr>
        <w:pStyle w:val="Default"/>
      </w:pPr>
      <w:r>
        <w:t xml:space="preserve">Az adatlap kiállítása </w:t>
      </w:r>
      <w:r w:rsidR="00D62B42">
        <w:t xml:space="preserve">jelen készítmény (nem veszélyes) esetében </w:t>
      </w:r>
      <w:r>
        <w:t xml:space="preserve">az 1907/2006 EK rendelet szerint </w:t>
      </w:r>
      <w:r w:rsidR="00D62B42">
        <w:t>önkéntes, nem kötelező. Csak tájékoztatást szolgál.</w:t>
      </w:r>
    </w:p>
    <w:p w:rsidR="00D62B42" w:rsidRPr="00442C16" w:rsidRDefault="00D62B42" w:rsidP="00442C16">
      <w:pPr>
        <w:pStyle w:val="Default"/>
      </w:pPr>
    </w:p>
    <w:p w:rsidR="00523292" w:rsidRDefault="007A51B4">
      <w:pPr>
        <w:pStyle w:val="CM12"/>
        <w:ind w:left="710" w:hanging="710"/>
      </w:pPr>
      <w:r>
        <w:t>1</w:t>
      </w:r>
      <w:r>
        <w:tab/>
        <w:t xml:space="preserve">Az anyag/készítmény és a társaság/vállalkozás azonosítása </w:t>
      </w:r>
    </w:p>
    <w:p w:rsidR="00523292" w:rsidRDefault="00523292">
      <w:pPr>
        <w:pStyle w:val="Default"/>
        <w:rPr>
          <w:color w:val="auto"/>
        </w:rPr>
      </w:pPr>
    </w:p>
    <w:p w:rsidR="00523292" w:rsidRDefault="001D396B">
      <w:pPr>
        <w:pStyle w:val="CM12"/>
        <w:ind w:firstLine="710"/>
      </w:pPr>
      <w:r>
        <w:rPr>
          <w:b/>
          <w:bCs/>
        </w:rPr>
        <w:t>VEGAREP EC</w:t>
      </w:r>
      <w:r w:rsidR="007A51B4">
        <w:rPr>
          <w:b/>
          <w:bCs/>
        </w:rPr>
        <w:t xml:space="preserve"> </w:t>
      </w:r>
    </w:p>
    <w:p w:rsidR="00C71946" w:rsidRDefault="007A51B4" w:rsidP="00C71946">
      <w:pPr>
        <w:pStyle w:val="CM12"/>
        <w:numPr>
          <w:ilvl w:val="1"/>
          <w:numId w:val="10"/>
        </w:numPr>
        <w:spacing w:line="276" w:lineRule="atLeast"/>
        <w:ind w:right="1690"/>
        <w:rPr>
          <w:u w:val="single"/>
        </w:rPr>
      </w:pPr>
      <w:r>
        <w:rPr>
          <w:u w:val="single"/>
        </w:rPr>
        <w:t>Felhasználás</w:t>
      </w:r>
    </w:p>
    <w:p w:rsidR="00523292" w:rsidRDefault="007A51B4" w:rsidP="00C71946">
      <w:pPr>
        <w:pStyle w:val="CM12"/>
        <w:spacing w:line="276" w:lineRule="atLeast"/>
        <w:ind w:left="705" w:right="1690"/>
      </w:pPr>
      <w:r>
        <w:t xml:space="preserve">Az anyag/készítmény szerepe: </w:t>
      </w:r>
      <w:r>
        <w:rPr>
          <w:b/>
          <w:bCs/>
        </w:rPr>
        <w:t>Növényápoló</w:t>
      </w:r>
      <w:r w:rsidR="001D396B">
        <w:rPr>
          <w:b/>
          <w:bCs/>
        </w:rPr>
        <w:t xml:space="preserve"> </w:t>
      </w:r>
      <w:r>
        <w:rPr>
          <w:b/>
          <w:bCs/>
        </w:rPr>
        <w:t xml:space="preserve">szer </w:t>
      </w:r>
    </w:p>
    <w:p w:rsidR="00C71946" w:rsidRDefault="007A51B4" w:rsidP="00C71946">
      <w:pPr>
        <w:pStyle w:val="CM12"/>
        <w:spacing w:after="0" w:line="276" w:lineRule="atLeast"/>
        <w:ind w:left="3549" w:hanging="3549"/>
        <w:rPr>
          <w:u w:val="single"/>
        </w:rPr>
      </w:pPr>
      <w:r>
        <w:t xml:space="preserve">1.2 </w:t>
      </w:r>
      <w:r>
        <w:rPr>
          <w:u w:val="single"/>
        </w:rPr>
        <w:t>Gyártó cég neve:</w:t>
      </w:r>
      <w:r>
        <w:rPr>
          <w:u w:val="single"/>
        </w:rPr>
        <w:tab/>
      </w:r>
      <w:r w:rsidR="001D396B">
        <w:rPr>
          <w:u w:val="single"/>
        </w:rPr>
        <w:t>BVN</w:t>
      </w:r>
      <w:r w:rsidR="00C71946">
        <w:rPr>
          <w:u w:val="single"/>
        </w:rPr>
        <w:t xml:space="preserve"> </w:t>
      </w:r>
      <w:proofErr w:type="gramStart"/>
      <w:r w:rsidR="001D396B">
        <w:rPr>
          <w:u w:val="single"/>
        </w:rPr>
        <w:t>Növényvédő  Kft.</w:t>
      </w:r>
      <w:proofErr w:type="gramEnd"/>
    </w:p>
    <w:p w:rsidR="00C71946" w:rsidRPr="00C71946" w:rsidRDefault="00C71946" w:rsidP="00C71946">
      <w:pPr>
        <w:pStyle w:val="CM12"/>
        <w:spacing w:after="0" w:line="276" w:lineRule="atLeast"/>
        <w:ind w:left="3549"/>
      </w:pPr>
      <w:r>
        <w:t>1097 Budapest Illatos út 19-23</w:t>
      </w:r>
    </w:p>
    <w:p w:rsidR="00523292" w:rsidRDefault="001D396B" w:rsidP="00C71946">
      <w:pPr>
        <w:pStyle w:val="CM12"/>
        <w:spacing w:after="0" w:line="276" w:lineRule="atLeast"/>
        <w:ind w:left="3549"/>
      </w:pPr>
      <w:r>
        <w:rPr>
          <w:u w:val="single"/>
        </w:rPr>
        <w:t>Tel</w:t>
      </w:r>
      <w:r w:rsidR="007A51B4">
        <w:t>/fax:(+36</w:t>
      </w:r>
      <w:r>
        <w:t>1</w:t>
      </w:r>
      <w:r w:rsidR="007A51B4">
        <w:t>) 2</w:t>
      </w:r>
      <w:r>
        <w:t>80-6544</w:t>
      </w:r>
      <w:r w:rsidR="007A51B4">
        <w:t xml:space="preserve"> </w:t>
      </w:r>
    </w:p>
    <w:p w:rsidR="00C71946" w:rsidRDefault="00C71946" w:rsidP="00C71946">
      <w:pPr>
        <w:pStyle w:val="CM12"/>
        <w:spacing w:after="0" w:line="276" w:lineRule="atLeast"/>
        <w:ind w:left="3549" w:hanging="3549"/>
      </w:pPr>
    </w:p>
    <w:p w:rsidR="00C71946" w:rsidRDefault="007A51B4" w:rsidP="00C71946">
      <w:pPr>
        <w:pStyle w:val="CM12"/>
        <w:spacing w:after="0" w:line="276" w:lineRule="atLeast"/>
        <w:ind w:left="3549" w:hanging="3549"/>
        <w:rPr>
          <w:u w:val="single"/>
        </w:rPr>
      </w:pPr>
      <w:r>
        <w:t xml:space="preserve">1.3 </w:t>
      </w:r>
      <w:r>
        <w:rPr>
          <w:u w:val="single"/>
        </w:rPr>
        <w:t>Forgalmazó cég neve:</w:t>
      </w:r>
      <w:r>
        <w:rPr>
          <w:u w:val="single"/>
        </w:rPr>
        <w:tab/>
      </w:r>
      <w:r w:rsidR="00C71946">
        <w:rPr>
          <w:u w:val="single"/>
        </w:rPr>
        <w:t xml:space="preserve">BVN </w:t>
      </w:r>
      <w:proofErr w:type="gramStart"/>
      <w:r w:rsidR="00C71946">
        <w:rPr>
          <w:u w:val="single"/>
        </w:rPr>
        <w:t>Növényvédő  Kft.</w:t>
      </w:r>
      <w:proofErr w:type="gramEnd"/>
    </w:p>
    <w:p w:rsidR="00C71946" w:rsidRPr="00C71946" w:rsidRDefault="00C71946" w:rsidP="00C71946">
      <w:pPr>
        <w:pStyle w:val="CM12"/>
        <w:spacing w:after="0" w:line="276" w:lineRule="atLeast"/>
        <w:ind w:left="3549"/>
      </w:pPr>
      <w:r>
        <w:t>1097 Budapest Illatos út 19-23</w:t>
      </w:r>
    </w:p>
    <w:p w:rsidR="00C71946" w:rsidRDefault="00C71946" w:rsidP="00C71946">
      <w:pPr>
        <w:pStyle w:val="CM12"/>
        <w:spacing w:after="0" w:line="276" w:lineRule="atLeast"/>
        <w:ind w:left="3549"/>
      </w:pPr>
      <w:r>
        <w:rPr>
          <w:u w:val="single"/>
        </w:rPr>
        <w:t>Tel</w:t>
      </w:r>
      <w:r>
        <w:t xml:space="preserve">/fax:(+361) 280-6544 </w:t>
      </w:r>
    </w:p>
    <w:p w:rsidR="00523292" w:rsidRDefault="00523292" w:rsidP="00C71946">
      <w:pPr>
        <w:pStyle w:val="CM12"/>
        <w:spacing w:line="276" w:lineRule="atLeast"/>
        <w:ind w:left="3549" w:hanging="3549"/>
      </w:pPr>
    </w:p>
    <w:p w:rsidR="00523292" w:rsidRDefault="007A51B4">
      <w:pPr>
        <w:pStyle w:val="CM12"/>
        <w:spacing w:line="276" w:lineRule="atLeast"/>
        <w:ind w:left="710" w:hanging="710"/>
      </w:pPr>
      <w:r>
        <w:t>1.4</w:t>
      </w:r>
      <w:r>
        <w:tab/>
      </w:r>
      <w:r>
        <w:rPr>
          <w:u w:val="single"/>
        </w:rPr>
        <w:t xml:space="preserve">Felelős személy neve: </w:t>
      </w:r>
      <w:r w:rsidR="00442C16">
        <w:rPr>
          <w:u w:val="single"/>
        </w:rPr>
        <w:t xml:space="preserve">Dr. </w:t>
      </w:r>
      <w:proofErr w:type="spellStart"/>
      <w:r w:rsidR="00442C16">
        <w:rPr>
          <w:u w:val="single"/>
        </w:rPr>
        <w:t>F</w:t>
      </w:r>
      <w:r w:rsidR="00C71946">
        <w:rPr>
          <w:u w:val="single"/>
        </w:rPr>
        <w:t>rühauf</w:t>
      </w:r>
      <w:proofErr w:type="spellEnd"/>
      <w:r w:rsidR="00C71946">
        <w:rPr>
          <w:u w:val="single"/>
        </w:rPr>
        <w:t xml:space="preserve"> Tamás</w:t>
      </w:r>
      <w:r>
        <w:t xml:space="preserve"> </w:t>
      </w:r>
    </w:p>
    <w:p w:rsidR="00523292" w:rsidRDefault="007A51B4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  <w:u w:val="single"/>
        </w:rPr>
        <w:t xml:space="preserve">Sürgősségi telefon: </w:t>
      </w:r>
      <w:r>
        <w:rPr>
          <w:b/>
          <w:bCs/>
          <w:color w:val="auto"/>
        </w:rPr>
        <w:t xml:space="preserve">Egészségügyi Toxikológiai Tájékoztató Szolgálat </w:t>
      </w:r>
      <w:r>
        <w:rPr>
          <w:color w:val="auto"/>
        </w:rPr>
        <w:t>(ETTSZ) 1096 Budapest Nagyvárad tér 2. Tel</w:t>
      </w:r>
      <w:proofErr w:type="gramStart"/>
      <w:r>
        <w:rPr>
          <w:color w:val="auto"/>
        </w:rPr>
        <w:t>.:</w:t>
      </w:r>
      <w:proofErr w:type="gramEnd"/>
      <w:r>
        <w:rPr>
          <w:color w:val="auto"/>
        </w:rPr>
        <w:t xml:space="preserve">+36 1 476 6464, +36 80 201 199 </w:t>
      </w:r>
    </w:p>
    <w:p w:rsidR="00523292" w:rsidRDefault="007A51B4">
      <w:pPr>
        <w:pStyle w:val="Default"/>
        <w:numPr>
          <w:ilvl w:val="0"/>
          <w:numId w:val="1"/>
        </w:numPr>
        <w:rPr>
          <w:color w:val="auto"/>
        </w:rPr>
      </w:pPr>
      <w:r>
        <w:rPr>
          <w:b/>
          <w:bCs/>
          <w:color w:val="auto"/>
        </w:rPr>
        <w:t>A veszély azonosítása</w:t>
      </w:r>
      <w:proofErr w:type="gramStart"/>
      <w:r>
        <w:rPr>
          <w:b/>
          <w:bCs/>
          <w:color w:val="auto"/>
        </w:rPr>
        <w:t>:  Nem</w:t>
      </w:r>
      <w:proofErr w:type="gramEnd"/>
      <w:r>
        <w:rPr>
          <w:b/>
          <w:bCs/>
          <w:color w:val="auto"/>
        </w:rPr>
        <w:t xml:space="preserve"> minősül veszélyes készítménynek! </w:t>
      </w:r>
    </w:p>
    <w:p w:rsidR="00523292" w:rsidRDefault="00523292">
      <w:pPr>
        <w:pStyle w:val="Default"/>
        <w:rPr>
          <w:color w:val="auto"/>
        </w:rPr>
      </w:pPr>
    </w:p>
    <w:p w:rsidR="00C71946" w:rsidRDefault="007A51B4">
      <w:pPr>
        <w:pStyle w:val="Default"/>
        <w:spacing w:after="318" w:line="276" w:lineRule="atLeast"/>
        <w:ind w:left="710" w:right="2313" w:hanging="710"/>
        <w:rPr>
          <w:color w:val="auto"/>
          <w:u w:val="single"/>
        </w:rPr>
      </w:pPr>
      <w:r>
        <w:rPr>
          <w:color w:val="auto"/>
        </w:rPr>
        <w:t>2.1</w:t>
      </w:r>
      <w:r>
        <w:rPr>
          <w:color w:val="auto"/>
        </w:rPr>
        <w:tab/>
      </w:r>
      <w:r>
        <w:rPr>
          <w:color w:val="auto"/>
          <w:u w:val="single"/>
        </w:rPr>
        <w:t xml:space="preserve">A környezetre és az emberi egészségre gyakorolt egyéb veszélyek: </w:t>
      </w:r>
    </w:p>
    <w:p w:rsidR="00523292" w:rsidRDefault="007A51B4">
      <w:pPr>
        <w:pStyle w:val="Default"/>
        <w:spacing w:after="318" w:line="276" w:lineRule="atLeast"/>
        <w:ind w:left="710" w:right="2313" w:hanging="710"/>
        <w:rPr>
          <w:color w:val="auto"/>
        </w:rPr>
      </w:pPr>
      <w:r>
        <w:rPr>
          <w:color w:val="auto"/>
        </w:rPr>
        <w:t xml:space="preserve">A termék szembe jutva </w:t>
      </w:r>
      <w:r w:rsidR="00442C16">
        <w:rPr>
          <w:color w:val="auto"/>
        </w:rPr>
        <w:t>enyhe, időleges irritációt</w:t>
      </w:r>
      <w:r>
        <w:rPr>
          <w:color w:val="auto"/>
        </w:rPr>
        <w:t xml:space="preserve"> okozhat </w:t>
      </w:r>
    </w:p>
    <w:p w:rsidR="00C71946" w:rsidRDefault="007A51B4">
      <w:pPr>
        <w:pStyle w:val="CM5"/>
        <w:spacing w:after="365"/>
        <w:ind w:left="710" w:hanging="710"/>
        <w:rPr>
          <w:sz w:val="20"/>
          <w:szCs w:val="20"/>
        </w:rPr>
      </w:pPr>
      <w:r>
        <w:rPr>
          <w:b/>
          <w:bCs/>
        </w:rPr>
        <w:t>3</w:t>
      </w:r>
      <w:r>
        <w:t xml:space="preserve">. </w:t>
      </w:r>
      <w:r>
        <w:tab/>
      </w:r>
      <w:r>
        <w:rPr>
          <w:b/>
          <w:bCs/>
        </w:rPr>
        <w:t>Összetétel/ az alko</w:t>
      </w:r>
      <w:r w:rsidR="00C71946">
        <w:rPr>
          <w:b/>
          <w:bCs/>
        </w:rPr>
        <w:t>tórészekre vonatkozó információ</w:t>
      </w:r>
      <w:r>
        <w:rPr>
          <w:sz w:val="20"/>
          <w:szCs w:val="20"/>
        </w:rPr>
        <w:t>s:</w:t>
      </w:r>
    </w:p>
    <w:p w:rsidR="00523292" w:rsidRPr="000937A7" w:rsidRDefault="007A51B4">
      <w:pPr>
        <w:pStyle w:val="CM5"/>
        <w:spacing w:after="365"/>
        <w:ind w:left="710" w:hanging="710"/>
      </w:pPr>
      <w:r w:rsidRPr="000937A7">
        <w:t xml:space="preserve"> </w:t>
      </w:r>
      <w:proofErr w:type="gramStart"/>
      <w:r w:rsidRPr="000937A7">
        <w:t>növényi</w:t>
      </w:r>
      <w:proofErr w:type="gramEnd"/>
      <w:r w:rsidRPr="000937A7">
        <w:t xml:space="preserve"> </w:t>
      </w:r>
      <w:proofErr w:type="spellStart"/>
      <w:r w:rsidRPr="000937A7">
        <w:t>olajat</w:t>
      </w:r>
      <w:proofErr w:type="spellEnd"/>
      <w:r w:rsidRPr="000937A7">
        <w:t>,</w:t>
      </w:r>
      <w:r w:rsidR="00442C16">
        <w:t xml:space="preserve"> </w:t>
      </w:r>
      <w:proofErr w:type="spellStart"/>
      <w:r w:rsidR="00442C16">
        <w:t>lecit</w:t>
      </w:r>
      <w:r w:rsidR="00C71946" w:rsidRPr="000937A7">
        <w:t>int</w:t>
      </w:r>
      <w:proofErr w:type="spellEnd"/>
      <w:r w:rsidR="00C71946" w:rsidRPr="000937A7">
        <w:t xml:space="preserve"> tartalmazó készítmény</w:t>
      </w:r>
      <w:r w:rsidRPr="000937A7">
        <w:t xml:space="preserve"> </w:t>
      </w:r>
    </w:p>
    <w:tbl>
      <w:tblPr>
        <w:tblW w:w="6893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763"/>
        <w:gridCol w:w="1296"/>
        <w:gridCol w:w="1509"/>
        <w:gridCol w:w="1229"/>
        <w:gridCol w:w="1176"/>
      </w:tblGrid>
      <w:tr w:rsidR="00C71946" w:rsidRPr="00C71946" w:rsidTr="00C71946">
        <w:trPr>
          <w:trHeight w:val="810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</w:pPr>
            <w:r w:rsidRPr="00C71946">
              <w:t xml:space="preserve">Megnevezés 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proofErr w:type="spellStart"/>
            <w:r w:rsidRPr="00C71946">
              <w:t>CAS-szám</w:t>
            </w:r>
            <w:proofErr w:type="spellEnd"/>
            <w:r w:rsidRPr="00C71946">
              <w:t xml:space="preserve">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r w:rsidRPr="00C71946">
              <w:t>Koncentráció tartomány (</w:t>
            </w:r>
            <w:r>
              <w:t>m/</w:t>
            </w:r>
            <w:proofErr w:type="spellStart"/>
            <w:r>
              <w:t>m</w:t>
            </w:r>
            <w:r w:rsidRPr="00C71946">
              <w:t>%</w:t>
            </w:r>
            <w:proofErr w:type="spellEnd"/>
            <w:r w:rsidRPr="00C71946">
              <w:t xml:space="preserve">) 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r w:rsidRPr="00C71946">
              <w:t xml:space="preserve">Veszélyjel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r w:rsidRPr="00C71946">
              <w:t>R</w:t>
            </w:r>
            <w:r w:rsidR="00442C16">
              <w:t>-</w:t>
            </w:r>
            <w:r w:rsidRPr="00C71946">
              <w:t xml:space="preserve">mondat </w:t>
            </w:r>
          </w:p>
        </w:tc>
      </w:tr>
      <w:tr w:rsidR="00C71946" w:rsidRPr="00C71946" w:rsidTr="00C71946">
        <w:trPr>
          <w:trHeight w:val="340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946" w:rsidRPr="00C71946" w:rsidRDefault="00C71946">
            <w:pPr>
              <w:pStyle w:val="Default"/>
            </w:pPr>
            <w:r w:rsidRPr="00C71946">
              <w:rPr>
                <w:b/>
                <w:bCs/>
              </w:rPr>
              <w:t xml:space="preserve">napraforgóolaj 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946" w:rsidRPr="00C71946" w:rsidRDefault="00C71946">
            <w:pPr>
              <w:pStyle w:val="Default"/>
              <w:jc w:val="center"/>
            </w:pPr>
            <w:r w:rsidRPr="00E041AB">
              <w:rPr>
                <w:b/>
              </w:rPr>
              <w:t>8001-21-6</w:t>
            </w:r>
            <w:r w:rsidRPr="00C71946"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946" w:rsidRPr="00C71946" w:rsidRDefault="00C71946">
            <w:pPr>
              <w:pStyle w:val="Default"/>
              <w:jc w:val="center"/>
            </w:pPr>
            <w:r>
              <w:t>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946" w:rsidRPr="00C71946" w:rsidRDefault="00C71946">
            <w:pPr>
              <w:pStyle w:val="Default"/>
              <w:jc w:val="center"/>
            </w:pPr>
            <w:r>
              <w:t>nincs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946" w:rsidRPr="00C71946" w:rsidRDefault="00C71946">
            <w:pPr>
              <w:pStyle w:val="Default"/>
              <w:jc w:val="center"/>
            </w:pPr>
            <w:r>
              <w:t>nincs</w:t>
            </w:r>
          </w:p>
        </w:tc>
      </w:tr>
      <w:tr w:rsidR="00C71946" w:rsidRPr="00C71946" w:rsidTr="00C71946">
        <w:trPr>
          <w:trHeight w:val="805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rPr>
                <w:b/>
              </w:rPr>
            </w:pPr>
            <w:proofErr w:type="spellStart"/>
            <w:r w:rsidRPr="00C71946">
              <w:rPr>
                <w:b/>
              </w:rPr>
              <w:t>lecitin</w:t>
            </w:r>
            <w:proofErr w:type="spellEnd"/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r w:rsidRPr="00E041AB">
              <w:rPr>
                <w:b/>
              </w:rPr>
              <w:t>800</w:t>
            </w:r>
            <w:r>
              <w:rPr>
                <w:b/>
              </w:rPr>
              <w:t>2</w:t>
            </w:r>
            <w:r w:rsidRPr="00E041AB">
              <w:rPr>
                <w:b/>
              </w:rPr>
              <w:t>-</w:t>
            </w:r>
            <w:r>
              <w:rPr>
                <w:b/>
              </w:rPr>
              <w:t>43</w:t>
            </w:r>
            <w:r w:rsidRPr="00E041AB">
              <w:rPr>
                <w:b/>
              </w:rPr>
              <w:t>-</w:t>
            </w:r>
            <w:r>
              <w:rPr>
                <w:b/>
              </w:rPr>
              <w:t>5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r>
              <w:t>nincs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6" w:rsidRPr="00C71946" w:rsidRDefault="00C71946">
            <w:pPr>
              <w:pStyle w:val="Default"/>
              <w:jc w:val="center"/>
            </w:pPr>
            <w:r>
              <w:t>nincs</w:t>
            </w:r>
          </w:p>
        </w:tc>
      </w:tr>
    </w:tbl>
    <w:p w:rsidR="00C71946" w:rsidRDefault="00C71946">
      <w:pPr>
        <w:pStyle w:val="CM2"/>
        <w:ind w:left="710" w:hanging="710"/>
        <w:rPr>
          <w:b/>
          <w:bCs/>
        </w:rPr>
      </w:pPr>
    </w:p>
    <w:p w:rsidR="00523292" w:rsidRDefault="007A51B4">
      <w:pPr>
        <w:pStyle w:val="CM2"/>
        <w:ind w:left="710" w:hanging="71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proofErr w:type="spellStart"/>
      <w:r>
        <w:rPr>
          <w:b/>
          <w:bCs/>
        </w:rPr>
        <w:t>Elsősegélynyújtási</w:t>
      </w:r>
      <w:proofErr w:type="spellEnd"/>
      <w:r>
        <w:rPr>
          <w:b/>
          <w:bCs/>
        </w:rPr>
        <w:t xml:space="preserve"> intézkedések</w:t>
      </w:r>
    </w:p>
    <w:p w:rsidR="00442C16" w:rsidRPr="00442C16" w:rsidRDefault="00442C16" w:rsidP="00442C16">
      <w:pPr>
        <w:pStyle w:val="Default"/>
      </w:pPr>
    </w:p>
    <w:p w:rsidR="00523292" w:rsidRPr="00442C16" w:rsidRDefault="007A51B4">
      <w:pPr>
        <w:pStyle w:val="CM14"/>
        <w:spacing w:line="233" w:lineRule="atLeast"/>
        <w:ind w:left="710"/>
      </w:pPr>
      <w:r w:rsidRPr="00442C16">
        <w:t xml:space="preserve">Általános információk az orvos részére: Nincs különleges utasítás Tünetek: nem ismertek Kezelés: nincs különleges utasítás </w:t>
      </w:r>
    </w:p>
    <w:p w:rsidR="00523292" w:rsidRDefault="007A51B4">
      <w:pPr>
        <w:pStyle w:val="CM4"/>
        <w:ind w:left="710" w:hanging="710"/>
      </w:pPr>
      <w:r>
        <w:lastRenderedPageBreak/>
        <w:t>4.1</w:t>
      </w:r>
      <w:r>
        <w:tab/>
      </w:r>
      <w:r w:rsidR="00442C16">
        <w:rPr>
          <w:u w:val="single"/>
        </w:rPr>
        <w:t>L</w:t>
      </w:r>
      <w:r>
        <w:rPr>
          <w:u w:val="single"/>
        </w:rPr>
        <w:t xml:space="preserve">enyelés: </w:t>
      </w:r>
    </w:p>
    <w:p w:rsidR="00442C16" w:rsidRDefault="00442C16" w:rsidP="000937A7">
      <w:pPr>
        <w:pStyle w:val="Default"/>
        <w:spacing w:line="240" w:lineRule="atLeast"/>
        <w:ind w:left="142" w:firstLine="569"/>
        <w:rPr>
          <w:color w:val="auto"/>
        </w:rPr>
      </w:pPr>
    </w:p>
    <w:p w:rsidR="00442C16" w:rsidRDefault="007A51B4" w:rsidP="000937A7">
      <w:pPr>
        <w:pStyle w:val="Default"/>
        <w:spacing w:line="240" w:lineRule="atLeast"/>
        <w:ind w:left="142" w:firstLine="569"/>
        <w:rPr>
          <w:color w:val="auto"/>
        </w:rPr>
      </w:pPr>
      <w:r>
        <w:rPr>
          <w:color w:val="auto"/>
        </w:rPr>
        <w:t>Teendők:</w:t>
      </w:r>
    </w:p>
    <w:p w:rsidR="00523292" w:rsidRDefault="007A51B4" w:rsidP="000937A7">
      <w:pPr>
        <w:pStyle w:val="Default"/>
        <w:spacing w:line="240" w:lineRule="atLeast"/>
        <w:ind w:left="142" w:firstLine="569"/>
        <w:rPr>
          <w:color w:val="auto"/>
        </w:rPr>
      </w:pPr>
      <w:r w:rsidRPr="000937A7">
        <w:rPr>
          <w:color w:val="auto"/>
        </w:rPr>
        <w:t xml:space="preserve">-A </w:t>
      </w:r>
      <w:proofErr w:type="spellStart"/>
      <w:r w:rsidRPr="000937A7">
        <w:rPr>
          <w:color w:val="auto"/>
        </w:rPr>
        <w:t>sérülthöz</w:t>
      </w:r>
      <w:proofErr w:type="spellEnd"/>
      <w:r w:rsidRPr="000937A7">
        <w:rPr>
          <w:color w:val="auto"/>
        </w:rPr>
        <w:t xml:space="preserve"> azonnal hívjunk orvost, és mutassuk meg a címkét!</w:t>
      </w:r>
    </w:p>
    <w:p w:rsidR="00442C16" w:rsidRPr="000937A7" w:rsidRDefault="00442C16" w:rsidP="000937A7">
      <w:pPr>
        <w:pStyle w:val="Default"/>
        <w:spacing w:line="240" w:lineRule="atLeast"/>
        <w:ind w:left="142" w:firstLine="569"/>
        <w:rPr>
          <w:color w:val="auto"/>
        </w:rPr>
      </w:pPr>
    </w:p>
    <w:p w:rsidR="00442C16" w:rsidRDefault="007A51B4" w:rsidP="000937A7">
      <w:pPr>
        <w:pStyle w:val="Default"/>
        <w:rPr>
          <w:color w:val="auto"/>
        </w:rPr>
      </w:pPr>
      <w:r w:rsidRPr="000937A7">
        <w:rPr>
          <w:color w:val="auto"/>
        </w:rPr>
        <w:t xml:space="preserve"> Helyezzük kényelmes testhelyzetbe a sérültet!</w:t>
      </w:r>
    </w:p>
    <w:p w:rsidR="00523292" w:rsidRDefault="007A51B4" w:rsidP="000937A7">
      <w:pPr>
        <w:pStyle w:val="Default"/>
        <w:rPr>
          <w:color w:val="auto"/>
        </w:rPr>
      </w:pPr>
      <w:proofErr w:type="spellStart"/>
      <w:r w:rsidRPr="000937A7">
        <w:rPr>
          <w:color w:val="auto"/>
        </w:rPr>
        <w:t>-Tilos</w:t>
      </w:r>
      <w:proofErr w:type="spellEnd"/>
      <w:r w:rsidRPr="000937A7">
        <w:rPr>
          <w:color w:val="auto"/>
        </w:rPr>
        <w:t xml:space="preserve"> az eszméletlen sérültnek bármit szájon át beadni, ill. hányatni!</w:t>
      </w:r>
    </w:p>
    <w:p w:rsidR="00442C16" w:rsidRPr="000937A7" w:rsidRDefault="00442C16" w:rsidP="000937A7">
      <w:pPr>
        <w:pStyle w:val="Default"/>
        <w:rPr>
          <w:color w:val="auto"/>
        </w:rPr>
      </w:pPr>
    </w:p>
    <w:p w:rsidR="00523292" w:rsidRDefault="007A51B4" w:rsidP="000937A7">
      <w:pPr>
        <w:pStyle w:val="Default"/>
        <w:rPr>
          <w:color w:val="auto"/>
        </w:rPr>
      </w:pPr>
      <w:r w:rsidRPr="000937A7">
        <w:rPr>
          <w:color w:val="auto"/>
        </w:rPr>
        <w:t>- Öblítsük ki a sérült száját tiszta vízzel!</w:t>
      </w:r>
      <w:r w:rsidRPr="000937A7">
        <w:rPr>
          <w:color w:val="auto"/>
        </w:rPr>
        <w:br/>
        <w:t>-A sérülttel itassunk nagy mennyiségű vizet!</w:t>
      </w:r>
    </w:p>
    <w:p w:rsidR="00442C16" w:rsidRPr="000937A7" w:rsidRDefault="00442C16" w:rsidP="000937A7">
      <w:pPr>
        <w:pStyle w:val="Default"/>
        <w:rPr>
          <w:color w:val="auto"/>
        </w:rPr>
      </w:pPr>
    </w:p>
    <w:p w:rsidR="00523292" w:rsidRDefault="00523292">
      <w:pPr>
        <w:pStyle w:val="Default"/>
        <w:rPr>
          <w:color w:val="auto"/>
          <w:sz w:val="20"/>
          <w:szCs w:val="20"/>
        </w:rPr>
      </w:pPr>
    </w:p>
    <w:p w:rsidR="00523292" w:rsidRPr="000937A7" w:rsidRDefault="007A51B4">
      <w:pPr>
        <w:pStyle w:val="Default"/>
        <w:spacing w:line="276" w:lineRule="atLeast"/>
        <w:ind w:left="710" w:right="7933" w:hanging="710"/>
        <w:rPr>
          <w:color w:val="auto"/>
        </w:rPr>
      </w:pPr>
      <w:r w:rsidRPr="000937A7">
        <w:rPr>
          <w:color w:val="auto"/>
        </w:rPr>
        <w:t>4.2</w:t>
      </w:r>
      <w:r w:rsidRPr="000937A7">
        <w:rPr>
          <w:color w:val="auto"/>
        </w:rPr>
        <w:tab/>
      </w:r>
      <w:r w:rsidRPr="000937A7">
        <w:rPr>
          <w:color w:val="auto"/>
          <w:u w:val="single"/>
        </w:rPr>
        <w:t xml:space="preserve">Belégzés: </w:t>
      </w:r>
      <w:r w:rsidRPr="000937A7">
        <w:rPr>
          <w:color w:val="auto"/>
        </w:rPr>
        <w:t xml:space="preserve">Teendők: </w:t>
      </w:r>
    </w:p>
    <w:p w:rsidR="00523292" w:rsidRPr="000937A7" w:rsidRDefault="007A51B4">
      <w:pPr>
        <w:pStyle w:val="Default"/>
        <w:spacing w:line="231" w:lineRule="atLeast"/>
        <w:ind w:left="2180" w:right="800" w:hanging="50"/>
        <w:rPr>
          <w:color w:val="auto"/>
        </w:rPr>
      </w:pPr>
      <w:r w:rsidRPr="000937A7">
        <w:rPr>
          <w:color w:val="auto"/>
        </w:rPr>
        <w:t xml:space="preserve">-A sérültet vigyük friss levegőre, lazítsuk meg a ruházatát, és helyezzük kényelmes testhelyzetbe </w:t>
      </w:r>
    </w:p>
    <w:p w:rsidR="00523292" w:rsidRPr="000937A7" w:rsidRDefault="007A51B4" w:rsidP="001D396B">
      <w:pPr>
        <w:pStyle w:val="Default"/>
        <w:spacing w:line="258" w:lineRule="atLeast"/>
        <w:rPr>
          <w:color w:val="auto"/>
        </w:rPr>
      </w:pPr>
      <w:r w:rsidRPr="000937A7">
        <w:rPr>
          <w:color w:val="auto"/>
        </w:rPr>
        <w:t>4.3</w:t>
      </w:r>
      <w:r w:rsidRPr="000937A7">
        <w:rPr>
          <w:color w:val="auto"/>
        </w:rPr>
        <w:tab/>
      </w:r>
      <w:r w:rsidRPr="000937A7">
        <w:rPr>
          <w:color w:val="auto"/>
          <w:u w:val="single"/>
        </w:rPr>
        <w:t>B</w:t>
      </w:r>
      <w:r w:rsidR="001D396B" w:rsidRPr="000937A7">
        <w:rPr>
          <w:color w:val="auto"/>
          <w:u w:val="single"/>
        </w:rPr>
        <w:t>őrr</w:t>
      </w:r>
      <w:r w:rsidRPr="000937A7">
        <w:rPr>
          <w:color w:val="auto"/>
          <w:u w:val="single"/>
        </w:rPr>
        <w:t xml:space="preserve">el érintkezés: </w:t>
      </w:r>
      <w:r w:rsidRPr="000937A7">
        <w:rPr>
          <w:color w:val="auto"/>
        </w:rPr>
        <w:t xml:space="preserve">Teendők: </w:t>
      </w:r>
      <w:proofErr w:type="spellStart"/>
      <w:r w:rsidRPr="000937A7">
        <w:rPr>
          <w:color w:val="auto"/>
        </w:rPr>
        <w:t>-Távolítsuk</w:t>
      </w:r>
      <w:proofErr w:type="spellEnd"/>
      <w:r w:rsidRPr="000937A7">
        <w:rPr>
          <w:color w:val="auto"/>
        </w:rPr>
        <w:t xml:space="preserve"> el a szennyezett ruházato</w:t>
      </w:r>
      <w:r w:rsidR="001D396B" w:rsidRPr="000937A7">
        <w:rPr>
          <w:color w:val="auto"/>
        </w:rPr>
        <w:t>t</w:t>
      </w:r>
      <w:r w:rsidRPr="000937A7">
        <w:rPr>
          <w:color w:val="auto"/>
        </w:rPr>
        <w:t xml:space="preserve">! </w:t>
      </w:r>
    </w:p>
    <w:p w:rsidR="00523292" w:rsidRPr="000937A7" w:rsidRDefault="007A51B4">
      <w:pPr>
        <w:pStyle w:val="CM15"/>
        <w:spacing w:line="231" w:lineRule="atLeast"/>
        <w:ind w:left="2128" w:right="1255"/>
      </w:pPr>
      <w:proofErr w:type="spellStart"/>
      <w:r w:rsidRPr="000937A7">
        <w:t>-Tisztítsuk</w:t>
      </w:r>
      <w:proofErr w:type="spellEnd"/>
      <w:r w:rsidRPr="000937A7">
        <w:t xml:space="preserve"> meg a szennyezett bőrfelületet bő szappanos vízzel (15 percen át) </w:t>
      </w:r>
      <w:proofErr w:type="spellStart"/>
      <w:r w:rsidRPr="000937A7">
        <w:t>-Tünetek</w:t>
      </w:r>
      <w:proofErr w:type="spellEnd"/>
      <w:r w:rsidRPr="000937A7">
        <w:t xml:space="preserve"> jelentkezése esetén a </w:t>
      </w:r>
      <w:proofErr w:type="spellStart"/>
      <w:r w:rsidRPr="000937A7">
        <w:t>sérülthöz</w:t>
      </w:r>
      <w:proofErr w:type="spellEnd"/>
      <w:r w:rsidRPr="000937A7">
        <w:t xml:space="preserve"> hívjunk orvost! </w:t>
      </w:r>
    </w:p>
    <w:p w:rsidR="00523292" w:rsidRPr="000937A7" w:rsidRDefault="007A51B4">
      <w:pPr>
        <w:pStyle w:val="Default"/>
        <w:spacing w:line="276" w:lineRule="atLeast"/>
        <w:ind w:left="710" w:right="7583" w:hanging="710"/>
        <w:rPr>
          <w:color w:val="auto"/>
        </w:rPr>
      </w:pPr>
      <w:r w:rsidRPr="000937A7">
        <w:rPr>
          <w:color w:val="auto"/>
        </w:rPr>
        <w:t>4.4</w:t>
      </w:r>
      <w:r w:rsidRPr="000937A7">
        <w:rPr>
          <w:color w:val="auto"/>
        </w:rPr>
        <w:tab/>
      </w:r>
      <w:r w:rsidRPr="000937A7">
        <w:rPr>
          <w:color w:val="auto"/>
          <w:u w:val="single"/>
        </w:rPr>
        <w:t xml:space="preserve">Szembejutás: </w:t>
      </w:r>
      <w:r w:rsidRPr="000937A7">
        <w:rPr>
          <w:color w:val="auto"/>
        </w:rPr>
        <w:t xml:space="preserve">Teendők: </w:t>
      </w:r>
    </w:p>
    <w:p w:rsidR="00523292" w:rsidRPr="000937A7" w:rsidRDefault="007A51B4">
      <w:pPr>
        <w:pStyle w:val="CM7"/>
        <w:ind w:left="2128"/>
      </w:pPr>
      <w:r w:rsidRPr="000937A7">
        <w:t>- Öblítsük ki a szemet a szemhéj szélek széthúzásával és a szemgolyó egyidejű mozgatásával</w:t>
      </w:r>
    </w:p>
    <w:p w:rsidR="00523292" w:rsidRPr="000937A7" w:rsidRDefault="007A51B4">
      <w:pPr>
        <w:pStyle w:val="CM12"/>
        <w:spacing w:line="231" w:lineRule="atLeast"/>
        <w:ind w:left="2128" w:firstLine="50"/>
      </w:pPr>
      <w:r w:rsidRPr="000937A7">
        <w:t xml:space="preserve"> (legalább negyed órán át) </w:t>
      </w:r>
      <w:proofErr w:type="spellStart"/>
      <w:r w:rsidRPr="000937A7">
        <w:t>-Amennyiben</w:t>
      </w:r>
      <w:proofErr w:type="spellEnd"/>
      <w:r w:rsidRPr="000937A7">
        <w:t xml:space="preserve"> a tünetek hosszabb ideig fenn álnak, forduljunk szakorvoshoz! </w:t>
      </w:r>
    </w:p>
    <w:p w:rsidR="000937A7" w:rsidRDefault="007A51B4">
      <w:pPr>
        <w:pStyle w:val="CM15"/>
        <w:spacing w:line="240" w:lineRule="atLeast"/>
        <w:ind w:left="710" w:right="6218" w:hanging="71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 xml:space="preserve">Tűzvédelmi intézkedések: </w:t>
      </w:r>
    </w:p>
    <w:p w:rsidR="00523292" w:rsidRDefault="007A51B4">
      <w:pPr>
        <w:pStyle w:val="CM15"/>
        <w:spacing w:line="240" w:lineRule="atLeast"/>
        <w:ind w:left="710" w:right="6218" w:hanging="7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Nem </w:t>
      </w:r>
      <w:r w:rsidR="001D396B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 xml:space="preserve">űzveszélyes! </w:t>
      </w:r>
    </w:p>
    <w:p w:rsidR="00523292" w:rsidRPr="00442C16" w:rsidRDefault="007A51B4">
      <w:pPr>
        <w:pStyle w:val="CM4"/>
        <w:ind w:left="710" w:hanging="710"/>
      </w:pPr>
      <w:r>
        <w:t>5.1</w:t>
      </w:r>
      <w:r>
        <w:tab/>
      </w:r>
      <w:r w:rsidRPr="00442C16">
        <w:rPr>
          <w:u w:val="single"/>
        </w:rPr>
        <w:t xml:space="preserve">oltóanyag: </w:t>
      </w:r>
      <w:proofErr w:type="gramStart"/>
      <w:r w:rsidRPr="00442C16">
        <w:t>CO2 ,</w:t>
      </w:r>
      <w:proofErr w:type="gramEnd"/>
      <w:r w:rsidRPr="00442C16">
        <w:t xml:space="preserve"> oltópor, oltóhab vagy vízpermet </w:t>
      </w:r>
    </w:p>
    <w:p w:rsidR="00523292" w:rsidRPr="00442C16" w:rsidRDefault="007A51B4">
      <w:pPr>
        <w:pStyle w:val="Default"/>
        <w:spacing w:line="276" w:lineRule="atLeast"/>
        <w:ind w:left="710" w:right="4343" w:hanging="710"/>
        <w:rPr>
          <w:color w:val="auto"/>
        </w:rPr>
      </w:pPr>
      <w:r w:rsidRPr="00442C16">
        <w:rPr>
          <w:color w:val="auto"/>
        </w:rPr>
        <w:t>5.2</w:t>
      </w:r>
      <w:r w:rsidRPr="00442C16">
        <w:rPr>
          <w:color w:val="auto"/>
        </w:rPr>
        <w:tab/>
      </w:r>
      <w:r w:rsidRPr="00442C16">
        <w:rPr>
          <w:color w:val="auto"/>
          <w:u w:val="single"/>
        </w:rPr>
        <w:t xml:space="preserve">biztonsági szempontból alkalmatlan oltóanyag: </w:t>
      </w:r>
      <w:r w:rsidRPr="00442C16">
        <w:rPr>
          <w:color w:val="auto"/>
        </w:rPr>
        <w:t xml:space="preserve">Nem ismert. </w:t>
      </w:r>
    </w:p>
    <w:p w:rsidR="00523292" w:rsidRPr="00442C16" w:rsidRDefault="007A51B4">
      <w:pPr>
        <w:pStyle w:val="CM5"/>
        <w:ind w:left="710" w:hanging="710"/>
      </w:pPr>
      <w:r w:rsidRPr="00442C16">
        <w:t>5.3</w:t>
      </w:r>
      <w:r w:rsidRPr="00442C16">
        <w:tab/>
      </w:r>
      <w:r w:rsidRPr="00442C16">
        <w:rPr>
          <w:u w:val="single"/>
        </w:rPr>
        <w:t xml:space="preserve">Tűzoltáskor használatos védőruházat: </w:t>
      </w:r>
      <w:r w:rsidRPr="00442C16">
        <w:t xml:space="preserve">Az előírásoknak megfelelő teljes védőöltözet és külső levegőtől függetlenített légzőkészülék alkalmazandó </w:t>
      </w:r>
    </w:p>
    <w:p w:rsidR="00523292" w:rsidRPr="00442C16" w:rsidRDefault="007A51B4">
      <w:pPr>
        <w:pStyle w:val="CM5"/>
        <w:ind w:left="710" w:hanging="710"/>
      </w:pPr>
      <w:r w:rsidRPr="00442C16">
        <w:t>5.4</w:t>
      </w:r>
      <w:r w:rsidRPr="00442C16">
        <w:tab/>
      </w:r>
      <w:r w:rsidRPr="00442C16">
        <w:rPr>
          <w:u w:val="single"/>
        </w:rPr>
        <w:t xml:space="preserve">Tűz esetén keletkező veszélyes bomlástermék: </w:t>
      </w:r>
      <w:r w:rsidRPr="00442C16">
        <w:t xml:space="preserve">Füst és egyéb égéstermék, ezek belégzése súlyosan károsíthatja az egészséget! </w:t>
      </w:r>
    </w:p>
    <w:p w:rsidR="00523292" w:rsidRPr="00442C16" w:rsidRDefault="007A51B4">
      <w:pPr>
        <w:pStyle w:val="CM15"/>
        <w:spacing w:line="236" w:lineRule="atLeast"/>
        <w:ind w:left="710" w:hanging="710"/>
      </w:pPr>
      <w:r w:rsidRPr="00442C16">
        <w:t>5.5</w:t>
      </w:r>
      <w:r w:rsidRPr="00442C16">
        <w:tab/>
      </w:r>
      <w:r w:rsidRPr="00442C16">
        <w:rPr>
          <w:u w:val="single"/>
        </w:rPr>
        <w:t xml:space="preserve">Egyéb: </w:t>
      </w:r>
      <w:r w:rsidRPr="00442C16">
        <w:t xml:space="preserve">Az oltáshoz használt folyadék a csatornahálózatba, vízfolyásokba nem kerülhet. A közelben lévő tartályok vízzel hűtendők! </w:t>
      </w:r>
    </w:p>
    <w:p w:rsidR="00523292" w:rsidRPr="00442C16" w:rsidRDefault="007A51B4">
      <w:pPr>
        <w:pStyle w:val="CM4"/>
        <w:ind w:left="710" w:hanging="710"/>
        <w:rPr>
          <w:b/>
          <w:bCs/>
        </w:rPr>
      </w:pPr>
      <w:r w:rsidRPr="00442C16">
        <w:rPr>
          <w:b/>
          <w:bCs/>
        </w:rPr>
        <w:t>6.</w:t>
      </w:r>
      <w:r w:rsidRPr="00442C16">
        <w:rPr>
          <w:b/>
          <w:bCs/>
        </w:rPr>
        <w:tab/>
        <w:t xml:space="preserve">Intézkedések baleset esetén: </w:t>
      </w:r>
    </w:p>
    <w:p w:rsidR="000937A7" w:rsidRPr="00442C16" w:rsidRDefault="000937A7" w:rsidP="000937A7">
      <w:pPr>
        <w:pStyle w:val="Default"/>
      </w:pPr>
    </w:p>
    <w:p w:rsidR="00523292" w:rsidRPr="00442C16" w:rsidRDefault="007A51B4">
      <w:pPr>
        <w:pStyle w:val="CM5"/>
        <w:ind w:left="710" w:hanging="710"/>
      </w:pPr>
      <w:r w:rsidRPr="00442C16">
        <w:t>6.1</w:t>
      </w:r>
      <w:r w:rsidRPr="00442C16">
        <w:tab/>
      </w:r>
      <w:r w:rsidRPr="00442C16">
        <w:rPr>
          <w:u w:val="single"/>
        </w:rPr>
        <w:t xml:space="preserve">Személyi védelem: </w:t>
      </w:r>
      <w:r w:rsidRPr="00442C16">
        <w:t xml:space="preserve">A baleset helyszínén csak a szükséges teendőket jól ismerő, kiképzett, megfelelő egyéni védőeszközöket (védőkesztyű, védőszemüveg) viselő személyzet tartózkodhat! </w:t>
      </w:r>
    </w:p>
    <w:p w:rsidR="00523292" w:rsidRPr="00442C16" w:rsidRDefault="007A51B4">
      <w:pPr>
        <w:pStyle w:val="CM5"/>
        <w:ind w:left="710" w:hanging="710"/>
      </w:pPr>
      <w:r w:rsidRPr="00442C16">
        <w:t>6.2</w:t>
      </w:r>
      <w:r w:rsidRPr="00442C16">
        <w:tab/>
      </w:r>
      <w:r w:rsidRPr="00442C16">
        <w:rPr>
          <w:u w:val="single"/>
        </w:rPr>
        <w:t xml:space="preserve">Környezetvédelem: </w:t>
      </w:r>
      <w:r w:rsidRPr="00442C16">
        <w:t xml:space="preserve">A környezetbe jutott anyagot, ill. a képződő hulladékot a hatályos környezetvédelmi előírásoknak megfelelően kell kezelni. A termék és a belőle származó hulladék élővízbe, talajba és közcsatornába jutását meg kell akadályozni. Amennyiben környezetszennyezéssel járó esemény következett be, haladéktalanul értesíteni kell az illetékes hatóságot. </w:t>
      </w:r>
    </w:p>
    <w:p w:rsidR="00523292" w:rsidRPr="00442C16" w:rsidRDefault="007A51B4">
      <w:pPr>
        <w:pStyle w:val="CM15"/>
        <w:spacing w:line="236" w:lineRule="atLeast"/>
        <w:ind w:left="710" w:hanging="710"/>
      </w:pPr>
      <w:r w:rsidRPr="00442C16">
        <w:t>6.3</w:t>
      </w:r>
      <w:r w:rsidRPr="00442C16">
        <w:tab/>
      </w:r>
      <w:r w:rsidRPr="00442C16">
        <w:rPr>
          <w:u w:val="single"/>
        </w:rPr>
        <w:t xml:space="preserve">Szabadba jutás esetén: </w:t>
      </w:r>
      <w:r w:rsidRPr="00442C16">
        <w:t xml:space="preserve">A szabadba jutott terméket nedvszívó anyaggal (fűrészpor, tőzeg, föld, homok, kovaföld, </w:t>
      </w:r>
      <w:proofErr w:type="spellStart"/>
      <w:r w:rsidRPr="00442C16">
        <w:t>vermikulit</w:t>
      </w:r>
      <w:proofErr w:type="spellEnd"/>
      <w:r w:rsidRPr="00442C16">
        <w:t xml:space="preserve">) kell letakarni, felitatni, és az összegyűjtött hulladékot szakszerű eltávolításig/ártalmatlanításig megfelelő, címkével ellátott, zárható veszélyes </w:t>
      </w:r>
      <w:proofErr w:type="gramStart"/>
      <w:r w:rsidRPr="00442C16">
        <w:t>hulladék gyűjtő</w:t>
      </w:r>
      <w:proofErr w:type="gramEnd"/>
      <w:r w:rsidRPr="00442C16">
        <w:t xml:space="preserve"> tartályba helyezve kell tárolni. A hulladék összegyűjtése, elhelyezése, ártalmatlanítása közben </w:t>
      </w:r>
      <w:r w:rsidRPr="00442C16">
        <w:lastRenderedPageBreak/>
        <w:t xml:space="preserve">megfelelő egyéni védőeszközök használata szükséges. </w:t>
      </w:r>
    </w:p>
    <w:p w:rsidR="00523292" w:rsidRPr="00442C16" w:rsidRDefault="007A51B4">
      <w:pPr>
        <w:pStyle w:val="CM2"/>
        <w:ind w:left="710" w:hanging="710"/>
      </w:pPr>
      <w:r w:rsidRPr="00442C16">
        <w:rPr>
          <w:b/>
          <w:bCs/>
        </w:rPr>
        <w:t>7.</w:t>
      </w:r>
      <w:r w:rsidRPr="00442C16">
        <w:rPr>
          <w:b/>
          <w:bCs/>
        </w:rPr>
        <w:tab/>
        <w:t xml:space="preserve">Kezelés és tárolás </w:t>
      </w:r>
    </w:p>
    <w:p w:rsidR="00523292" w:rsidRPr="00442C16" w:rsidRDefault="007A51B4">
      <w:pPr>
        <w:pStyle w:val="CM5"/>
        <w:ind w:left="710" w:hanging="710"/>
      </w:pPr>
      <w:r w:rsidRPr="00442C16">
        <w:t>7.1</w:t>
      </w:r>
      <w:r w:rsidRPr="00442C16">
        <w:tab/>
      </w:r>
      <w:r w:rsidRPr="00442C16">
        <w:rPr>
          <w:u w:val="single"/>
        </w:rPr>
        <w:t xml:space="preserve">Kezelés: A biztonságos kezelésre vonatkozó óvintézkedések: </w:t>
      </w:r>
      <w:r w:rsidRPr="00442C16">
        <w:t xml:space="preserve">A szokásos higiénés eljárások betartása kötelező! Kerülni kell a szembejutást. </w:t>
      </w:r>
      <w:r w:rsidRPr="00442C16">
        <w:rPr>
          <w:u w:val="single"/>
        </w:rPr>
        <w:t>Műszaki intézkedések:</w:t>
      </w:r>
      <w:r w:rsidRPr="00442C16">
        <w:t xml:space="preserve"> Gondoskodjunk a megfelelő szellőztetésről! </w:t>
      </w:r>
      <w:r w:rsidRPr="00442C16">
        <w:rPr>
          <w:u w:val="single"/>
        </w:rPr>
        <w:t>Tűz és robbanásvédelmi előírások:</w:t>
      </w:r>
      <w:r w:rsidRPr="00442C16">
        <w:t xml:space="preserve"> Nincs különleges utasítás. </w:t>
      </w:r>
    </w:p>
    <w:p w:rsidR="00523292" w:rsidRPr="00442C16" w:rsidRDefault="007A51B4">
      <w:pPr>
        <w:pStyle w:val="CM5"/>
        <w:ind w:left="710" w:hanging="710"/>
      </w:pPr>
      <w:r w:rsidRPr="00442C16">
        <w:t>7.2</w:t>
      </w:r>
      <w:r w:rsidRPr="00442C16">
        <w:tab/>
      </w:r>
      <w:r w:rsidRPr="00442C16">
        <w:rPr>
          <w:u w:val="single"/>
        </w:rPr>
        <w:t xml:space="preserve">Tárolás: A biztonságos tárolás feltételei: </w:t>
      </w:r>
      <w:r w:rsidRPr="00442C16">
        <w:t xml:space="preserve">A termék csak az eredeti, zárt és megfelelő jelöléssel ellátott edényben tárolható! A tároló helység megfelelően szellőztethető és takarítható legyen! Tartsuk be a címkén feltüntetett utasításokat. Közvetlen napfénytől védve tárolandó. Hőhatástól és fagytól óvandó! Gyermek elől elzárva tartandó! Eltartható a gyártástól számított 24 hónapig (eredeti zárt csomagolásban.)  Nem összeférhető anyagok: réz, alkáliföldfém és ezeket tartalmazó anyagok. </w:t>
      </w:r>
      <w:r w:rsidRPr="00442C16">
        <w:rPr>
          <w:u w:val="single"/>
        </w:rPr>
        <w:t>A csomagolásra/tárolásra használt anyag típusa:</w:t>
      </w:r>
      <w:r w:rsidRPr="00442C16">
        <w:t xml:space="preserve"> polietilén flakon vagy </w:t>
      </w:r>
      <w:proofErr w:type="gramStart"/>
      <w:r w:rsidRPr="00442C16">
        <w:t>kanna  zárókupakkal</w:t>
      </w:r>
      <w:proofErr w:type="gramEnd"/>
      <w:r w:rsidRPr="00442C16">
        <w:t xml:space="preserve">. </w:t>
      </w:r>
    </w:p>
    <w:p w:rsidR="00523292" w:rsidRDefault="007A51B4" w:rsidP="00442C16">
      <w:pPr>
        <w:pStyle w:val="CM15"/>
        <w:spacing w:after="0" w:line="240" w:lineRule="atLeast"/>
        <w:ind w:left="709" w:hanging="709"/>
      </w:pPr>
      <w:r w:rsidRPr="00442C16">
        <w:t>7.3</w:t>
      </w:r>
      <w:r w:rsidRPr="00442C16">
        <w:tab/>
      </w:r>
      <w:r w:rsidRPr="00442C16">
        <w:rPr>
          <w:u w:val="single"/>
        </w:rPr>
        <w:t xml:space="preserve">Különleges felhasználások: </w:t>
      </w:r>
      <w:r w:rsidRPr="00442C16">
        <w:t xml:space="preserve">Nem áll </w:t>
      </w:r>
      <w:r w:rsidR="00442C16">
        <w:t>r</w:t>
      </w:r>
      <w:r w:rsidRPr="00442C16">
        <w:t xml:space="preserve">endelkezésre speciális útmutatás. </w:t>
      </w:r>
    </w:p>
    <w:p w:rsidR="00442C16" w:rsidRPr="00442C16" w:rsidRDefault="00442C16" w:rsidP="00442C16">
      <w:pPr>
        <w:pStyle w:val="Default"/>
      </w:pPr>
    </w:p>
    <w:p w:rsidR="00523292" w:rsidRPr="00442C16" w:rsidRDefault="007A51B4">
      <w:pPr>
        <w:pStyle w:val="CM2"/>
        <w:ind w:left="710" w:hanging="710"/>
      </w:pPr>
      <w:r w:rsidRPr="00442C16">
        <w:rPr>
          <w:b/>
          <w:bCs/>
        </w:rPr>
        <w:t>8.</w:t>
      </w:r>
      <w:r w:rsidRPr="00442C16">
        <w:rPr>
          <w:b/>
          <w:bCs/>
        </w:rPr>
        <w:tab/>
        <w:t xml:space="preserve">Az expozíció ellenőrzése/ egyéni védelem </w:t>
      </w:r>
    </w:p>
    <w:p w:rsidR="00523292" w:rsidRPr="00442C16" w:rsidRDefault="007A51B4">
      <w:pPr>
        <w:pStyle w:val="CM2"/>
        <w:ind w:left="710" w:hanging="710"/>
      </w:pPr>
      <w:r w:rsidRPr="00442C16">
        <w:t>8.1</w:t>
      </w:r>
      <w:r w:rsidRPr="00442C16">
        <w:tab/>
      </w:r>
      <w:r w:rsidRPr="00442C16">
        <w:rPr>
          <w:u w:val="single"/>
        </w:rPr>
        <w:t>Expozíciós határértékek:</w:t>
      </w:r>
      <w:r w:rsidRPr="00442C16">
        <w:t xml:space="preserve"> nincs adat </w:t>
      </w:r>
    </w:p>
    <w:p w:rsidR="00523292" w:rsidRPr="00442C16" w:rsidRDefault="007A51B4">
      <w:pPr>
        <w:pStyle w:val="CM5"/>
        <w:ind w:left="710" w:hanging="710"/>
      </w:pPr>
      <w:r w:rsidRPr="00442C16">
        <w:t>8.2</w:t>
      </w:r>
      <w:r w:rsidRPr="00442C16">
        <w:tab/>
      </w:r>
      <w:r w:rsidRPr="00442C16">
        <w:rPr>
          <w:u w:val="single"/>
        </w:rPr>
        <w:t xml:space="preserve">A foglalkozási expozíció ellenőrzése: </w:t>
      </w:r>
      <w:r w:rsidRPr="00442C16">
        <w:t xml:space="preserve">A 25/2000. (IX.30.) </w:t>
      </w:r>
      <w:proofErr w:type="spellStart"/>
      <w:r w:rsidRPr="00442C16">
        <w:t>EüM-SZCSM</w:t>
      </w:r>
      <w:proofErr w:type="spellEnd"/>
      <w:r w:rsidRPr="00442C16">
        <w:t xml:space="preserve"> együttes rendelet 7.§ (6) bekezdése értelmében a határértékkel nem </w:t>
      </w:r>
      <w:proofErr w:type="spellStart"/>
      <w:r w:rsidRPr="00442C16">
        <w:t>szabályzott</w:t>
      </w:r>
      <w:proofErr w:type="spellEnd"/>
      <w:r w:rsidRPr="00442C16">
        <w:t xml:space="preserve"> veszélyes anyag esetében a munkáltató köteles a tudományos, technikai színvonal szerint elvárható legkisebb szintre csökkenteni az expozíció mértékét, amely szinten a tudomány mindenkori állása szerint a veszélyes anyagnak nincs egészségkárosító hatása. </w:t>
      </w:r>
    </w:p>
    <w:p w:rsidR="00523292" w:rsidRPr="00442C16" w:rsidRDefault="007A51B4">
      <w:pPr>
        <w:pStyle w:val="CM5"/>
        <w:ind w:left="710" w:hanging="710"/>
      </w:pPr>
      <w:r w:rsidRPr="00442C16">
        <w:t>8.3</w:t>
      </w:r>
      <w:r w:rsidRPr="00442C16">
        <w:tab/>
      </w:r>
      <w:r w:rsidRPr="00442C16">
        <w:rPr>
          <w:u w:val="single"/>
        </w:rPr>
        <w:t xml:space="preserve">A munkavégzés feltételei: </w:t>
      </w:r>
      <w:r w:rsidRPr="00442C16">
        <w:t xml:space="preserve">A munkavégzés során megfelelő körültekintés szükséges a készítmény kiömlésének, padozatra, ruházatra, bőrre, ill. szembejutásának elkerülésére </w:t>
      </w:r>
      <w:proofErr w:type="gramStart"/>
      <w:r w:rsidRPr="00442C16">
        <w:t>( védőszemüveg</w:t>
      </w:r>
      <w:proofErr w:type="gramEnd"/>
      <w:r w:rsidRPr="00442C16">
        <w:t xml:space="preserve"> viselése). Munka közben étkezni, dohányozni tilos. Szokásos alkalmazási feltételek mellett és megfelelő szellőztetés mellett használható. Kerülni kell a szembejutást. Használat után alapos kézmosás szükséges. Gondoskodjunk a munka utáni meleg vizes fürdési lehetőségről. </w:t>
      </w:r>
    </w:p>
    <w:p w:rsidR="000937A7" w:rsidRDefault="007A51B4" w:rsidP="000937A7">
      <w:pPr>
        <w:pStyle w:val="Default"/>
        <w:numPr>
          <w:ilvl w:val="1"/>
          <w:numId w:val="11"/>
        </w:numPr>
        <w:spacing w:line="240" w:lineRule="atLeast"/>
        <w:ind w:right="7045"/>
        <w:rPr>
          <w:color w:val="auto"/>
          <w:sz w:val="20"/>
          <w:szCs w:val="20"/>
        </w:rPr>
      </w:pPr>
      <w:r>
        <w:rPr>
          <w:color w:val="auto"/>
          <w:u w:val="single"/>
        </w:rPr>
        <w:t xml:space="preserve">Személyi védelem: </w:t>
      </w:r>
    </w:p>
    <w:p w:rsidR="000937A7" w:rsidRDefault="000937A7" w:rsidP="000937A7">
      <w:pPr>
        <w:pStyle w:val="Default"/>
        <w:ind w:left="360"/>
        <w:rPr>
          <w:color w:val="auto"/>
          <w:sz w:val="20"/>
          <w:szCs w:val="20"/>
        </w:rPr>
      </w:pPr>
    </w:p>
    <w:p w:rsidR="00523292" w:rsidRDefault="007A51B4" w:rsidP="000937A7">
      <w:pPr>
        <w:pStyle w:val="Default"/>
        <w:ind w:left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Szemvédelem: A permet kijuttatásakor arcvédő és védőszemüveg viselése szükséges.</w:t>
      </w:r>
    </w:p>
    <w:p w:rsidR="00523292" w:rsidRDefault="00523292">
      <w:pPr>
        <w:pStyle w:val="Default"/>
        <w:rPr>
          <w:color w:val="auto"/>
          <w:sz w:val="20"/>
          <w:szCs w:val="20"/>
        </w:rPr>
      </w:pPr>
    </w:p>
    <w:p w:rsidR="000937A7" w:rsidRDefault="007A51B4" w:rsidP="000937A7">
      <w:pPr>
        <w:pStyle w:val="CM15"/>
        <w:numPr>
          <w:ilvl w:val="1"/>
          <w:numId w:val="11"/>
        </w:numPr>
        <w:spacing w:line="236" w:lineRule="atLeast"/>
        <w:rPr>
          <w:sz w:val="20"/>
          <w:szCs w:val="20"/>
        </w:rPr>
      </w:pPr>
      <w:r>
        <w:rPr>
          <w:u w:val="single"/>
        </w:rPr>
        <w:t>A környezeti expozíció ellenőrzése:</w:t>
      </w:r>
      <w:r>
        <w:rPr>
          <w:sz w:val="20"/>
          <w:szCs w:val="20"/>
        </w:rPr>
        <w:t xml:space="preserve"> </w:t>
      </w:r>
    </w:p>
    <w:p w:rsidR="00442C16" w:rsidRDefault="007A51B4" w:rsidP="000937A7">
      <w:pPr>
        <w:pStyle w:val="CM15"/>
        <w:spacing w:line="236" w:lineRule="atLeast"/>
        <w:ind w:left="360"/>
      </w:pPr>
      <w:r w:rsidRPr="000937A7">
        <w:t xml:space="preserve">Nincs különleges utasítás. </w:t>
      </w:r>
    </w:p>
    <w:p w:rsidR="00523292" w:rsidRPr="00442C16" w:rsidRDefault="007A51B4" w:rsidP="000937A7">
      <w:pPr>
        <w:pStyle w:val="CM15"/>
        <w:spacing w:line="236" w:lineRule="atLeast"/>
        <w:ind w:left="360"/>
      </w:pPr>
      <w:r w:rsidRPr="00442C16">
        <w:rPr>
          <w:bCs/>
        </w:rPr>
        <w:t xml:space="preserve">A 8. pont alatti előírások átlagosnak tekinthető körülmények között, szakszerűen végzett tevékenységre és rendeltetésszerű felhasználási feltételekre vonatkoznak. Amennyiben ettől eltérő viszonyok vagy rendkívüli körülmények között történik a munkavégzés a további szükséges teendőkről és az egyéni védőeszközökkel kapcsolatban szakértő bevonásával ajánlott dönteni. </w:t>
      </w:r>
    </w:p>
    <w:p w:rsidR="00523292" w:rsidRDefault="007A51B4">
      <w:pPr>
        <w:pStyle w:val="CM2"/>
        <w:ind w:left="710" w:hanging="710"/>
      </w:pPr>
      <w:r>
        <w:rPr>
          <w:b/>
          <w:bCs/>
        </w:rPr>
        <w:t xml:space="preserve">9. </w:t>
      </w:r>
      <w:r>
        <w:rPr>
          <w:b/>
          <w:bCs/>
        </w:rPr>
        <w:tab/>
        <w:t xml:space="preserve">Fizikai és kémiai tulajdonságok. </w:t>
      </w:r>
    </w:p>
    <w:p w:rsidR="00523292" w:rsidRPr="00442C16" w:rsidRDefault="007A51B4" w:rsidP="000937A7">
      <w:pPr>
        <w:pStyle w:val="Default"/>
        <w:rPr>
          <w:color w:val="auto"/>
        </w:rPr>
      </w:pPr>
      <w:r w:rsidRPr="00442C16">
        <w:rPr>
          <w:color w:val="auto"/>
        </w:rPr>
        <w:t>9.1</w:t>
      </w:r>
      <w:r w:rsidRPr="00442C16">
        <w:rPr>
          <w:color w:val="auto"/>
        </w:rPr>
        <w:tab/>
      </w:r>
      <w:r w:rsidRPr="00442C16">
        <w:rPr>
          <w:color w:val="auto"/>
          <w:u w:val="single"/>
        </w:rPr>
        <w:t>Fizikai és kémiai tulajdonságok</w:t>
      </w:r>
      <w:r w:rsidRPr="00442C16">
        <w:rPr>
          <w:b/>
          <w:bCs/>
          <w:color w:val="auto"/>
        </w:rPr>
        <w:t xml:space="preserve">: </w:t>
      </w:r>
    </w:p>
    <w:p w:rsidR="00523292" w:rsidRPr="00442C16" w:rsidRDefault="007A51B4" w:rsidP="000937A7">
      <w:pPr>
        <w:pStyle w:val="Default"/>
        <w:rPr>
          <w:color w:val="auto"/>
        </w:rPr>
      </w:pPr>
      <w:r w:rsidRPr="00442C16">
        <w:rPr>
          <w:color w:val="auto"/>
        </w:rPr>
        <w:t xml:space="preserve"> Halmazállapot: viszkózus folyadék </w:t>
      </w:r>
    </w:p>
    <w:p w:rsidR="00523292" w:rsidRPr="00442C16" w:rsidRDefault="007A51B4" w:rsidP="000937A7">
      <w:pPr>
        <w:pStyle w:val="Default"/>
        <w:rPr>
          <w:color w:val="auto"/>
        </w:rPr>
      </w:pPr>
      <w:r w:rsidRPr="00442C16">
        <w:rPr>
          <w:color w:val="auto"/>
        </w:rPr>
        <w:t xml:space="preserve"> Szín:</w:t>
      </w:r>
      <w:r w:rsidRPr="00442C16">
        <w:rPr>
          <w:color w:val="auto"/>
        </w:rPr>
        <w:tab/>
      </w:r>
      <w:r w:rsidR="00442C16">
        <w:rPr>
          <w:color w:val="auto"/>
        </w:rPr>
        <w:t>enyhén opálos, sárga színű anyag</w:t>
      </w:r>
      <w:r w:rsidRPr="00442C16">
        <w:rPr>
          <w:color w:val="auto"/>
        </w:rPr>
        <w:t xml:space="preserve"> </w:t>
      </w:r>
    </w:p>
    <w:p w:rsidR="00523292" w:rsidRPr="00442C16" w:rsidRDefault="007A51B4" w:rsidP="000937A7">
      <w:pPr>
        <w:pStyle w:val="Default"/>
        <w:rPr>
          <w:color w:val="auto"/>
        </w:rPr>
      </w:pPr>
      <w:r w:rsidRPr="00442C16">
        <w:rPr>
          <w:color w:val="auto"/>
        </w:rPr>
        <w:t xml:space="preserve"> Szag:</w:t>
      </w:r>
      <w:r w:rsidRPr="00442C16">
        <w:rPr>
          <w:color w:val="auto"/>
        </w:rPr>
        <w:tab/>
      </w:r>
      <w:r w:rsidR="00442C16">
        <w:rPr>
          <w:color w:val="auto"/>
        </w:rPr>
        <w:t>étolajszagú</w:t>
      </w:r>
      <w:r w:rsidRPr="00442C16">
        <w:rPr>
          <w:color w:val="auto"/>
        </w:rPr>
        <w:t xml:space="preserve"> folyadék </w:t>
      </w:r>
    </w:p>
    <w:p w:rsidR="00523292" w:rsidRPr="00442C16" w:rsidRDefault="007A51B4" w:rsidP="000937A7">
      <w:pPr>
        <w:pStyle w:val="Default"/>
        <w:rPr>
          <w:color w:val="auto"/>
        </w:rPr>
      </w:pPr>
      <w:r w:rsidRPr="00442C16">
        <w:rPr>
          <w:color w:val="auto"/>
        </w:rPr>
        <w:t xml:space="preserve"> </w:t>
      </w:r>
      <w:proofErr w:type="gramStart"/>
      <w:r w:rsidRPr="00442C16">
        <w:rPr>
          <w:color w:val="auto"/>
        </w:rPr>
        <w:t>sűrűség</w:t>
      </w:r>
      <w:proofErr w:type="gramEnd"/>
      <w:r w:rsidRPr="00442C16">
        <w:rPr>
          <w:color w:val="auto"/>
        </w:rPr>
        <w:t xml:space="preserve"> (20º</w:t>
      </w:r>
      <w:r w:rsidR="001D396B" w:rsidRPr="00442C16">
        <w:rPr>
          <w:color w:val="auto"/>
        </w:rPr>
        <w:t>C): 0,93</w:t>
      </w:r>
      <w:r w:rsidRPr="00442C16">
        <w:rPr>
          <w:color w:val="auto"/>
        </w:rPr>
        <w:t xml:space="preserve"> g/cm</w:t>
      </w:r>
      <w:r w:rsidRPr="00442C16">
        <w:rPr>
          <w:color w:val="auto"/>
          <w:position w:val="8"/>
          <w:vertAlign w:val="superscript"/>
        </w:rPr>
        <w:t xml:space="preserve">3 </w:t>
      </w:r>
    </w:p>
    <w:p w:rsidR="00523292" w:rsidRPr="00442C16" w:rsidRDefault="00442C16" w:rsidP="000937A7">
      <w:pPr>
        <w:pStyle w:val="Default"/>
        <w:rPr>
          <w:color w:val="auto"/>
        </w:rPr>
      </w:pPr>
      <w:proofErr w:type="spellStart"/>
      <w:r>
        <w:rPr>
          <w:color w:val="auto"/>
        </w:rPr>
        <w:t>-o</w:t>
      </w:r>
      <w:r w:rsidR="007A51B4" w:rsidRPr="00442C16">
        <w:rPr>
          <w:color w:val="auto"/>
        </w:rPr>
        <w:t>ldhatóság</w:t>
      </w:r>
      <w:proofErr w:type="spellEnd"/>
      <w:r w:rsidR="007A51B4" w:rsidRPr="00442C16">
        <w:rPr>
          <w:color w:val="auto"/>
        </w:rPr>
        <w:t xml:space="preserve">/keverhetőség: vízzel emulziót képez </w:t>
      </w:r>
    </w:p>
    <w:p w:rsidR="00523292" w:rsidRPr="00442C16" w:rsidRDefault="00442C16" w:rsidP="000937A7">
      <w:pPr>
        <w:pStyle w:val="Default"/>
        <w:rPr>
          <w:color w:val="auto"/>
        </w:rPr>
      </w:pPr>
      <w:proofErr w:type="spellStart"/>
      <w:r>
        <w:rPr>
          <w:color w:val="auto"/>
        </w:rPr>
        <w:t>-</w:t>
      </w:r>
      <w:r w:rsidR="001D396B" w:rsidRPr="00442C16">
        <w:rPr>
          <w:color w:val="auto"/>
        </w:rPr>
        <w:t>pH-érték</w:t>
      </w:r>
      <w:proofErr w:type="spellEnd"/>
      <w:r w:rsidR="001D396B" w:rsidRPr="00442C16">
        <w:rPr>
          <w:color w:val="auto"/>
        </w:rPr>
        <w:t xml:space="preserve"> </w:t>
      </w:r>
      <w:proofErr w:type="gramStart"/>
      <w:r w:rsidR="001D396B" w:rsidRPr="00442C16">
        <w:rPr>
          <w:color w:val="auto"/>
        </w:rPr>
        <w:t>( 1</w:t>
      </w:r>
      <w:proofErr w:type="gramEnd"/>
      <w:r w:rsidR="001D396B" w:rsidRPr="00442C16">
        <w:rPr>
          <w:color w:val="auto"/>
        </w:rPr>
        <w:t>% oldat) 7,0</w:t>
      </w:r>
      <w:r w:rsidR="007A51B4" w:rsidRPr="00442C16">
        <w:rPr>
          <w:color w:val="auto"/>
        </w:rPr>
        <w:t xml:space="preserve"> </w:t>
      </w:r>
    </w:p>
    <w:p w:rsidR="00523292" w:rsidRDefault="001D396B" w:rsidP="000937A7">
      <w:pPr>
        <w:pStyle w:val="Default"/>
        <w:rPr>
          <w:color w:val="auto"/>
        </w:rPr>
      </w:pPr>
      <w:r w:rsidRPr="00442C16">
        <w:rPr>
          <w:color w:val="auto"/>
        </w:rPr>
        <w:t xml:space="preserve"> </w:t>
      </w:r>
      <w:proofErr w:type="gramStart"/>
      <w:r w:rsidRPr="00442C16">
        <w:rPr>
          <w:color w:val="auto"/>
        </w:rPr>
        <w:t>viszkozitás</w:t>
      </w:r>
      <w:proofErr w:type="gramEnd"/>
      <w:r w:rsidRPr="00442C16">
        <w:rPr>
          <w:color w:val="auto"/>
        </w:rPr>
        <w:t xml:space="preserve"> 20 </w:t>
      </w:r>
      <w:proofErr w:type="spellStart"/>
      <w:r w:rsidRPr="00442C16">
        <w:rPr>
          <w:color w:val="auto"/>
        </w:rPr>
        <w:t>°C-on</w:t>
      </w:r>
      <w:proofErr w:type="spellEnd"/>
      <w:r w:rsidRPr="00442C16">
        <w:rPr>
          <w:color w:val="auto"/>
        </w:rPr>
        <w:t xml:space="preserve"> 55</w:t>
      </w:r>
      <w:r w:rsidR="007A51B4" w:rsidRPr="00442C16">
        <w:rPr>
          <w:color w:val="auto"/>
        </w:rPr>
        <w:t xml:space="preserve"> </w:t>
      </w:r>
      <w:proofErr w:type="spellStart"/>
      <w:r w:rsidR="007A51B4" w:rsidRPr="00442C16">
        <w:rPr>
          <w:color w:val="auto"/>
        </w:rPr>
        <w:t>mPa</w:t>
      </w:r>
      <w:proofErr w:type="spellEnd"/>
      <w:r w:rsidR="007A51B4" w:rsidRPr="00442C16">
        <w:rPr>
          <w:color w:val="auto"/>
        </w:rPr>
        <w:t xml:space="preserve"> s </w:t>
      </w:r>
    </w:p>
    <w:p w:rsidR="00442C16" w:rsidRPr="00442C16" w:rsidRDefault="00442C16" w:rsidP="000937A7">
      <w:pPr>
        <w:pStyle w:val="Default"/>
        <w:rPr>
          <w:color w:val="auto"/>
        </w:rPr>
      </w:pPr>
    </w:p>
    <w:p w:rsidR="00523292" w:rsidRPr="00442C16" w:rsidRDefault="007A51B4" w:rsidP="000937A7">
      <w:pPr>
        <w:pStyle w:val="Default"/>
        <w:rPr>
          <w:color w:val="auto"/>
        </w:rPr>
      </w:pPr>
      <w:r w:rsidRPr="00442C16">
        <w:rPr>
          <w:color w:val="auto"/>
          <w:u w:val="single"/>
        </w:rPr>
        <w:t>Egyéb információk</w:t>
      </w:r>
      <w:proofErr w:type="gramStart"/>
      <w:r w:rsidRPr="00442C16">
        <w:rPr>
          <w:color w:val="auto"/>
          <w:u w:val="single"/>
        </w:rPr>
        <w:t>:</w:t>
      </w:r>
      <w:r w:rsidRPr="00442C16">
        <w:rPr>
          <w:color w:val="auto"/>
        </w:rPr>
        <w:t xml:space="preserve">  Nem</w:t>
      </w:r>
      <w:proofErr w:type="gramEnd"/>
      <w:r w:rsidRPr="00442C16">
        <w:rPr>
          <w:color w:val="auto"/>
        </w:rPr>
        <w:t xml:space="preserve"> áll rendelkezésre adat </w:t>
      </w:r>
    </w:p>
    <w:p w:rsidR="00523292" w:rsidRDefault="00523292">
      <w:pPr>
        <w:pStyle w:val="Default"/>
        <w:rPr>
          <w:color w:val="auto"/>
          <w:sz w:val="20"/>
          <w:szCs w:val="20"/>
        </w:rPr>
      </w:pPr>
    </w:p>
    <w:p w:rsidR="00523292" w:rsidRDefault="007A51B4">
      <w:pPr>
        <w:pStyle w:val="CM2"/>
        <w:ind w:left="710" w:hanging="710"/>
      </w:pPr>
      <w:r>
        <w:rPr>
          <w:b/>
          <w:bCs/>
        </w:rPr>
        <w:t>10.</w:t>
      </w:r>
      <w:r>
        <w:rPr>
          <w:b/>
          <w:bCs/>
        </w:rPr>
        <w:tab/>
        <w:t xml:space="preserve">Stabilitás és reakciókészség </w:t>
      </w:r>
    </w:p>
    <w:p w:rsidR="00523292" w:rsidRDefault="007A51B4">
      <w:pPr>
        <w:pStyle w:val="CM2"/>
        <w:ind w:left="710" w:hanging="710"/>
      </w:pPr>
      <w:r>
        <w:t>10.1</w:t>
      </w:r>
      <w:r>
        <w:tab/>
      </w:r>
      <w:r>
        <w:rPr>
          <w:u w:val="single"/>
        </w:rPr>
        <w:t xml:space="preserve">Stabilitás: </w:t>
      </w:r>
    </w:p>
    <w:p w:rsidR="00523292" w:rsidRPr="00442C16" w:rsidRDefault="007A51B4">
      <w:pPr>
        <w:pStyle w:val="Default"/>
        <w:numPr>
          <w:ilvl w:val="0"/>
          <w:numId w:val="5"/>
        </w:numPr>
        <w:rPr>
          <w:color w:val="auto"/>
        </w:rPr>
      </w:pPr>
      <w:r w:rsidRPr="00442C16">
        <w:rPr>
          <w:color w:val="auto"/>
        </w:rPr>
        <w:lastRenderedPageBreak/>
        <w:t xml:space="preserve"> Normál hőmérsékleten általános munkakörülmények mellett stabil. </w:t>
      </w:r>
    </w:p>
    <w:p w:rsidR="00523292" w:rsidRPr="00442C16" w:rsidRDefault="007A51B4">
      <w:pPr>
        <w:pStyle w:val="Default"/>
        <w:numPr>
          <w:ilvl w:val="0"/>
          <w:numId w:val="5"/>
        </w:numPr>
        <w:rPr>
          <w:color w:val="auto"/>
        </w:rPr>
      </w:pPr>
      <w:r w:rsidRPr="00442C16">
        <w:rPr>
          <w:color w:val="auto"/>
        </w:rPr>
        <w:t xml:space="preserve">Veszélyes bomlástermékek: Nem áll rendelkezésre adat </w:t>
      </w:r>
    </w:p>
    <w:p w:rsidR="00523292" w:rsidRPr="00442C16" w:rsidRDefault="007A51B4">
      <w:pPr>
        <w:pStyle w:val="Default"/>
        <w:numPr>
          <w:ilvl w:val="0"/>
          <w:numId w:val="5"/>
        </w:numPr>
        <w:rPr>
          <w:color w:val="auto"/>
        </w:rPr>
      </w:pPr>
      <w:r w:rsidRPr="00442C16">
        <w:rPr>
          <w:color w:val="auto"/>
        </w:rPr>
        <w:t xml:space="preserve">Veszélyes reakciók, összeférhetetlen anyagok: réz, alkáliföldfém, és ezeket tartalmazó anyagok. </w:t>
      </w:r>
    </w:p>
    <w:p w:rsidR="00523292" w:rsidRDefault="00523292">
      <w:pPr>
        <w:pStyle w:val="Default"/>
        <w:rPr>
          <w:color w:val="auto"/>
          <w:sz w:val="20"/>
          <w:szCs w:val="20"/>
        </w:rPr>
      </w:pPr>
    </w:p>
    <w:p w:rsidR="00523292" w:rsidRDefault="007A51B4">
      <w:pPr>
        <w:pStyle w:val="CM12"/>
        <w:ind w:left="710" w:hanging="710"/>
      </w:pPr>
      <w:r>
        <w:rPr>
          <w:b/>
          <w:bCs/>
        </w:rPr>
        <w:t>11.</w:t>
      </w:r>
      <w:r>
        <w:rPr>
          <w:b/>
          <w:bCs/>
        </w:rPr>
        <w:tab/>
        <w:t xml:space="preserve">Toxikológiai információk </w:t>
      </w:r>
    </w:p>
    <w:p w:rsidR="00442C16" w:rsidRDefault="007A51B4" w:rsidP="000937A7">
      <w:pPr>
        <w:pStyle w:val="CM12"/>
        <w:spacing w:after="0" w:line="240" w:lineRule="atLeast"/>
        <w:ind w:left="709" w:hanging="709"/>
        <w:rPr>
          <w:u w:val="single"/>
        </w:rPr>
      </w:pPr>
      <w:r>
        <w:t>11.1</w:t>
      </w:r>
      <w:r>
        <w:tab/>
      </w:r>
      <w:r>
        <w:rPr>
          <w:u w:val="single"/>
        </w:rPr>
        <w:t>Akut toxicitás (LD</w:t>
      </w:r>
      <w:r>
        <w:rPr>
          <w:sz w:val="14"/>
          <w:szCs w:val="14"/>
          <w:u w:val="single"/>
        </w:rPr>
        <w:t>50</w:t>
      </w:r>
      <w:r w:rsidRPr="00442C16">
        <w:rPr>
          <w:u w:val="single"/>
        </w:rPr>
        <w:t>)</w:t>
      </w:r>
    </w:p>
    <w:p w:rsidR="00523292" w:rsidRDefault="007A51B4" w:rsidP="000937A7">
      <w:pPr>
        <w:pStyle w:val="CM12"/>
        <w:spacing w:after="0" w:line="240" w:lineRule="atLeast"/>
        <w:ind w:left="709" w:hanging="709"/>
        <w:rPr>
          <w:sz w:val="20"/>
          <w:szCs w:val="20"/>
        </w:rPr>
      </w:pPr>
      <w:proofErr w:type="gramStart"/>
      <w:r w:rsidRPr="00442C16">
        <w:t>orális</w:t>
      </w:r>
      <w:proofErr w:type="gramEnd"/>
      <w:r w:rsidRPr="00442C16">
        <w:t xml:space="preserve"> </w:t>
      </w:r>
      <w:r w:rsidR="000937A7" w:rsidRPr="00442C16">
        <w:t xml:space="preserve"> p</w:t>
      </w:r>
      <w:r w:rsidR="00442C16">
        <w:t>atkány</w:t>
      </w:r>
      <w:r w:rsidRPr="00442C16">
        <w:t xml:space="preserve"> : &gt; </w:t>
      </w:r>
      <w:r w:rsidR="000937A7" w:rsidRPr="00442C16">
        <w:t>2</w:t>
      </w:r>
      <w:r w:rsidRPr="00442C16">
        <w:t>000 mg/kg</w:t>
      </w:r>
      <w:r>
        <w:rPr>
          <w:sz w:val="20"/>
          <w:szCs w:val="20"/>
        </w:rPr>
        <w:t xml:space="preserve"> </w:t>
      </w:r>
    </w:p>
    <w:p w:rsidR="000937A7" w:rsidRPr="000937A7" w:rsidRDefault="000937A7" w:rsidP="000937A7">
      <w:pPr>
        <w:pStyle w:val="Default"/>
      </w:pPr>
    </w:p>
    <w:p w:rsidR="00523292" w:rsidRPr="000937A7" w:rsidRDefault="007A51B4">
      <w:pPr>
        <w:pStyle w:val="CM5"/>
        <w:ind w:left="710" w:hanging="710"/>
      </w:pPr>
      <w:r>
        <w:t>11.2</w:t>
      </w:r>
      <w:r>
        <w:tab/>
      </w:r>
      <w:r>
        <w:rPr>
          <w:u w:val="single"/>
        </w:rPr>
        <w:t xml:space="preserve">Egyéb </w:t>
      </w:r>
      <w:r w:rsidRPr="000937A7">
        <w:t xml:space="preserve">Normál körülmények között, rendeltetésszerű felhasználás mellett nincs egészségkárosító hatása. </w:t>
      </w:r>
    </w:p>
    <w:p w:rsidR="00523292" w:rsidRPr="000937A7" w:rsidRDefault="007A51B4">
      <w:pPr>
        <w:pStyle w:val="CM6"/>
        <w:ind w:left="710"/>
      </w:pPr>
      <w:r w:rsidRPr="000937A7">
        <w:rPr>
          <w:b/>
          <w:bCs/>
        </w:rPr>
        <w:t xml:space="preserve">Akut hatások: </w:t>
      </w:r>
    </w:p>
    <w:p w:rsidR="00442C16" w:rsidRDefault="007A51B4">
      <w:pPr>
        <w:pStyle w:val="CM6"/>
        <w:ind w:left="710"/>
      </w:pPr>
      <w:proofErr w:type="gramStart"/>
      <w:r w:rsidRPr="000937A7">
        <w:t>lenyelés</w:t>
      </w:r>
      <w:proofErr w:type="gramEnd"/>
      <w:r w:rsidRPr="000937A7">
        <w:t xml:space="preserve">: </w:t>
      </w:r>
    </w:p>
    <w:p w:rsidR="00442C16" w:rsidRDefault="007A51B4">
      <w:pPr>
        <w:pStyle w:val="CM6"/>
        <w:ind w:left="710"/>
      </w:pPr>
      <w:proofErr w:type="gramStart"/>
      <w:r w:rsidRPr="000937A7">
        <w:t>belégzés</w:t>
      </w:r>
      <w:proofErr w:type="gramEnd"/>
      <w:r w:rsidRPr="000937A7">
        <w:t xml:space="preserve">: </w:t>
      </w:r>
    </w:p>
    <w:p w:rsidR="00442C16" w:rsidRDefault="007A51B4">
      <w:pPr>
        <w:pStyle w:val="CM6"/>
        <w:ind w:left="710"/>
      </w:pPr>
      <w:proofErr w:type="gramStart"/>
      <w:r w:rsidRPr="000937A7">
        <w:t>bőrrel</w:t>
      </w:r>
      <w:proofErr w:type="gramEnd"/>
      <w:r w:rsidRPr="000937A7">
        <w:t xml:space="preserve"> érintkezés: </w:t>
      </w:r>
    </w:p>
    <w:p w:rsidR="00442C16" w:rsidRDefault="007A51B4">
      <w:pPr>
        <w:pStyle w:val="CM6"/>
        <w:ind w:left="710"/>
      </w:pPr>
      <w:proofErr w:type="gramStart"/>
      <w:r w:rsidRPr="000937A7">
        <w:t>szembe</w:t>
      </w:r>
      <w:proofErr w:type="gramEnd"/>
      <w:r w:rsidRPr="000937A7">
        <w:t xml:space="preserve"> jutás: maradandó károsodást nem okoz.</w:t>
      </w:r>
    </w:p>
    <w:p w:rsidR="00442C16" w:rsidRDefault="007A51B4">
      <w:pPr>
        <w:pStyle w:val="CM6"/>
        <w:ind w:left="710"/>
      </w:pPr>
      <w:r w:rsidRPr="000937A7">
        <w:rPr>
          <w:b/>
          <w:bCs/>
        </w:rPr>
        <w:t xml:space="preserve">Irritáció: </w:t>
      </w:r>
      <w:r w:rsidRPr="000937A7">
        <w:t>nem ismert</w:t>
      </w:r>
    </w:p>
    <w:p w:rsidR="00442C16" w:rsidRDefault="007A51B4">
      <w:pPr>
        <w:pStyle w:val="CM6"/>
        <w:ind w:left="710"/>
      </w:pPr>
      <w:proofErr w:type="spellStart"/>
      <w:r w:rsidRPr="000937A7">
        <w:rPr>
          <w:b/>
          <w:bCs/>
        </w:rPr>
        <w:t>Szenzibilizáció</w:t>
      </w:r>
      <w:proofErr w:type="spellEnd"/>
      <w:r w:rsidRPr="000937A7">
        <w:rPr>
          <w:b/>
          <w:bCs/>
        </w:rPr>
        <w:t xml:space="preserve">: </w:t>
      </w:r>
      <w:proofErr w:type="spellStart"/>
      <w:r w:rsidRPr="000937A7">
        <w:t>szenzibilizáló</w:t>
      </w:r>
      <w:proofErr w:type="spellEnd"/>
      <w:r w:rsidRPr="000937A7">
        <w:t xml:space="preserve"> hatása nem ismert.</w:t>
      </w:r>
    </w:p>
    <w:p w:rsidR="00523292" w:rsidRDefault="007A51B4">
      <w:pPr>
        <w:pStyle w:val="CM6"/>
        <w:ind w:left="710"/>
      </w:pPr>
      <w:proofErr w:type="spellStart"/>
      <w:r w:rsidRPr="000937A7">
        <w:rPr>
          <w:b/>
          <w:bCs/>
        </w:rPr>
        <w:t>Szubakut</w:t>
      </w:r>
      <w:proofErr w:type="spellEnd"/>
      <w:r w:rsidRPr="000937A7">
        <w:rPr>
          <w:b/>
          <w:bCs/>
        </w:rPr>
        <w:t xml:space="preserve"> és krónikus toxicitás</w:t>
      </w:r>
      <w:r w:rsidRPr="000937A7">
        <w:t>:</w:t>
      </w:r>
    </w:p>
    <w:p w:rsidR="00442C16" w:rsidRPr="00442C16" w:rsidRDefault="00442C16" w:rsidP="00442C16">
      <w:pPr>
        <w:pStyle w:val="Default"/>
      </w:pPr>
    </w:p>
    <w:p w:rsidR="00523292" w:rsidRPr="000937A7" w:rsidRDefault="007A51B4">
      <w:pPr>
        <w:pStyle w:val="CM6"/>
        <w:ind w:left="710"/>
      </w:pPr>
      <w:r w:rsidRPr="000937A7">
        <w:t>Hosszas illetve ismételt expozíció esetén jelentkező tünetek</w:t>
      </w:r>
      <w:proofErr w:type="gramStart"/>
      <w:r w:rsidRPr="000937A7">
        <w:t>:  nem</w:t>
      </w:r>
      <w:proofErr w:type="gramEnd"/>
      <w:r w:rsidRPr="000937A7">
        <w:t xml:space="preserve"> ismertek. </w:t>
      </w:r>
    </w:p>
    <w:p w:rsidR="00523292" w:rsidRPr="000937A7" w:rsidRDefault="007A51B4">
      <w:pPr>
        <w:pStyle w:val="CM6"/>
        <w:ind w:left="710"/>
      </w:pPr>
      <w:r w:rsidRPr="000937A7">
        <w:rPr>
          <w:b/>
          <w:bCs/>
        </w:rPr>
        <w:t xml:space="preserve">CMR hatások: </w:t>
      </w:r>
    </w:p>
    <w:p w:rsidR="00442C16" w:rsidRDefault="007A51B4">
      <w:pPr>
        <w:pStyle w:val="CM6"/>
        <w:ind w:left="710"/>
      </w:pPr>
      <w:proofErr w:type="spellStart"/>
      <w:r w:rsidRPr="000937A7">
        <w:t>Karcinogenitás</w:t>
      </w:r>
      <w:proofErr w:type="spellEnd"/>
      <w:r w:rsidRPr="000937A7">
        <w:t>: nem ismert.</w:t>
      </w:r>
    </w:p>
    <w:p w:rsidR="00442C16" w:rsidRDefault="007A51B4">
      <w:pPr>
        <w:pStyle w:val="CM6"/>
        <w:ind w:left="710"/>
      </w:pPr>
      <w:proofErr w:type="spellStart"/>
      <w:r w:rsidRPr="000937A7">
        <w:t>Reprodukciótoxicitás</w:t>
      </w:r>
      <w:proofErr w:type="spellEnd"/>
      <w:r w:rsidRPr="000937A7">
        <w:t>: nem ismert.</w:t>
      </w:r>
    </w:p>
    <w:p w:rsidR="00523292" w:rsidRDefault="007A51B4">
      <w:pPr>
        <w:pStyle w:val="CM6"/>
        <w:ind w:left="710"/>
      </w:pPr>
      <w:proofErr w:type="spellStart"/>
      <w:r w:rsidRPr="000937A7">
        <w:t>Mutagenitás</w:t>
      </w:r>
      <w:proofErr w:type="spellEnd"/>
      <w:r w:rsidRPr="000937A7">
        <w:t>: nem ismert.</w:t>
      </w:r>
    </w:p>
    <w:p w:rsidR="00442C16" w:rsidRPr="00442C16" w:rsidRDefault="00442C16" w:rsidP="00442C16">
      <w:pPr>
        <w:pStyle w:val="Default"/>
      </w:pPr>
    </w:p>
    <w:p w:rsidR="00442C16" w:rsidRDefault="007A51B4">
      <w:pPr>
        <w:pStyle w:val="CM15"/>
        <w:spacing w:line="233" w:lineRule="atLeast"/>
        <w:ind w:left="710"/>
        <w:rPr>
          <w:b/>
          <w:bCs/>
        </w:rPr>
      </w:pPr>
      <w:proofErr w:type="spellStart"/>
      <w:r w:rsidRPr="000937A7">
        <w:rPr>
          <w:b/>
          <w:bCs/>
        </w:rPr>
        <w:t>Regisztrálásköteles</w:t>
      </w:r>
      <w:proofErr w:type="spellEnd"/>
      <w:r w:rsidRPr="000937A7">
        <w:rPr>
          <w:b/>
          <w:bCs/>
        </w:rPr>
        <w:t xml:space="preserve"> anyagok CMR tulajdonságainak összefoglalása: </w:t>
      </w:r>
    </w:p>
    <w:p w:rsidR="00523292" w:rsidRDefault="007A51B4">
      <w:pPr>
        <w:pStyle w:val="CM15"/>
        <w:spacing w:line="233" w:lineRule="atLeast"/>
        <w:ind w:left="710"/>
      </w:pPr>
      <w:r w:rsidRPr="000937A7">
        <w:br/>
      </w:r>
      <w:r w:rsidRPr="000937A7">
        <w:rPr>
          <w:b/>
          <w:bCs/>
        </w:rPr>
        <w:t xml:space="preserve">Állatkísérletekben megfigyelt hatások: </w:t>
      </w:r>
      <w:r w:rsidRPr="000937A7">
        <w:t>nem ismertek.</w:t>
      </w:r>
    </w:p>
    <w:p w:rsidR="00442C16" w:rsidRPr="00442C16" w:rsidRDefault="00442C16" w:rsidP="00442C16">
      <w:pPr>
        <w:pStyle w:val="Default"/>
      </w:pPr>
    </w:p>
    <w:p w:rsidR="00523292" w:rsidRPr="000937A7" w:rsidRDefault="007A51B4">
      <w:pPr>
        <w:pStyle w:val="CM2"/>
        <w:ind w:left="710" w:hanging="710"/>
      </w:pPr>
      <w:r w:rsidRPr="000937A7">
        <w:rPr>
          <w:b/>
          <w:bCs/>
        </w:rPr>
        <w:t>12.</w:t>
      </w:r>
      <w:r w:rsidRPr="000937A7">
        <w:rPr>
          <w:b/>
          <w:bCs/>
        </w:rPr>
        <w:tab/>
        <w:t xml:space="preserve">Ökológiai információk </w:t>
      </w:r>
    </w:p>
    <w:p w:rsidR="000937A7" w:rsidRDefault="007A51B4">
      <w:pPr>
        <w:pStyle w:val="CM15"/>
        <w:spacing w:line="233" w:lineRule="atLeast"/>
        <w:ind w:left="710"/>
      </w:pPr>
      <w:r w:rsidRPr="000937A7">
        <w:t>Tilos a készítményt előkezelés nélkül élővízbe, vízfolyásokba és a talajba juttatni. Vízveszélyes anyagokat</w:t>
      </w:r>
      <w:r w:rsidR="000937A7">
        <w:t xml:space="preserve"> </w:t>
      </w:r>
      <w:r w:rsidRPr="000937A7">
        <w:t>tartalmaz.</w:t>
      </w:r>
    </w:p>
    <w:p w:rsidR="000937A7" w:rsidRDefault="007A51B4">
      <w:pPr>
        <w:pStyle w:val="CM15"/>
        <w:spacing w:line="233" w:lineRule="atLeast"/>
        <w:ind w:left="710"/>
      </w:pPr>
      <w:proofErr w:type="spellStart"/>
      <w:r w:rsidRPr="000937A7">
        <w:rPr>
          <w:b/>
          <w:bCs/>
        </w:rPr>
        <w:t>Ökotoxicitás</w:t>
      </w:r>
      <w:proofErr w:type="spellEnd"/>
      <w:r w:rsidRPr="000937A7">
        <w:rPr>
          <w:b/>
          <w:bCs/>
        </w:rPr>
        <w:t>:</w:t>
      </w:r>
      <w:r w:rsidRPr="000937A7">
        <w:t xml:space="preserve"> nem áll rendelkezésre adat</w:t>
      </w:r>
    </w:p>
    <w:p w:rsidR="000937A7" w:rsidRDefault="007A51B4">
      <w:pPr>
        <w:pStyle w:val="CM15"/>
        <w:spacing w:line="233" w:lineRule="atLeast"/>
        <w:ind w:left="710"/>
      </w:pPr>
      <w:r w:rsidRPr="000937A7">
        <w:rPr>
          <w:b/>
          <w:bCs/>
        </w:rPr>
        <w:t>Mobilitás:</w:t>
      </w:r>
      <w:r w:rsidRPr="000937A7">
        <w:t xml:space="preserve"> nem áll rendelkezésre adat.</w:t>
      </w:r>
    </w:p>
    <w:p w:rsidR="000937A7" w:rsidRDefault="007A51B4">
      <w:pPr>
        <w:pStyle w:val="CM15"/>
        <w:spacing w:line="233" w:lineRule="atLeast"/>
        <w:ind w:left="710"/>
      </w:pPr>
      <w:proofErr w:type="spellStart"/>
      <w:r w:rsidRPr="000937A7">
        <w:rPr>
          <w:b/>
          <w:bCs/>
        </w:rPr>
        <w:t>Perzisztencia</w:t>
      </w:r>
      <w:proofErr w:type="spellEnd"/>
      <w:r w:rsidRPr="000937A7">
        <w:rPr>
          <w:b/>
          <w:bCs/>
        </w:rPr>
        <w:t xml:space="preserve"> és biológiai lebonthatóság: </w:t>
      </w:r>
      <w:r w:rsidRPr="000937A7">
        <w:t>A készítményben található felületaktív anyagok biológiai</w:t>
      </w:r>
      <w:r w:rsidR="000937A7">
        <w:t xml:space="preserve"> </w:t>
      </w:r>
      <w:proofErr w:type="gramStart"/>
      <w:r w:rsidR="000937A7">
        <w:t>lebonthatósága &gt;</w:t>
      </w:r>
      <w:proofErr w:type="gramEnd"/>
      <w:r w:rsidR="000937A7">
        <w:t xml:space="preserve"> 90%</w:t>
      </w:r>
    </w:p>
    <w:p w:rsidR="000937A7" w:rsidRDefault="007A51B4">
      <w:pPr>
        <w:pStyle w:val="CM15"/>
        <w:spacing w:line="233" w:lineRule="atLeast"/>
        <w:ind w:left="710"/>
      </w:pPr>
      <w:proofErr w:type="spellStart"/>
      <w:r w:rsidRPr="000937A7">
        <w:rPr>
          <w:b/>
          <w:bCs/>
        </w:rPr>
        <w:t>Bioakkumulációs</w:t>
      </w:r>
      <w:proofErr w:type="spellEnd"/>
      <w:r w:rsidRPr="000937A7">
        <w:rPr>
          <w:b/>
          <w:bCs/>
        </w:rPr>
        <w:t xml:space="preserve"> képesség: </w:t>
      </w:r>
      <w:r w:rsidRPr="000937A7">
        <w:t>nem áll rendelkezésre adat.</w:t>
      </w:r>
    </w:p>
    <w:p w:rsidR="000937A7" w:rsidRDefault="007A51B4">
      <w:pPr>
        <w:pStyle w:val="CM15"/>
        <w:spacing w:line="233" w:lineRule="atLeast"/>
        <w:ind w:left="710"/>
      </w:pPr>
      <w:r w:rsidRPr="000937A7">
        <w:rPr>
          <w:b/>
          <w:bCs/>
        </w:rPr>
        <w:t xml:space="preserve">A </w:t>
      </w:r>
      <w:proofErr w:type="spellStart"/>
      <w:r w:rsidRPr="000937A7">
        <w:rPr>
          <w:b/>
          <w:bCs/>
        </w:rPr>
        <w:t>PBT-értékelés</w:t>
      </w:r>
      <w:proofErr w:type="spellEnd"/>
      <w:r w:rsidRPr="000937A7">
        <w:rPr>
          <w:b/>
          <w:bCs/>
        </w:rPr>
        <w:t xml:space="preserve"> eredményei: </w:t>
      </w:r>
      <w:r w:rsidRPr="000937A7">
        <w:t>nem áll rendelkezésre adat.</w:t>
      </w:r>
    </w:p>
    <w:p w:rsidR="00523292" w:rsidRPr="000937A7" w:rsidRDefault="007A51B4">
      <w:pPr>
        <w:pStyle w:val="CM15"/>
        <w:spacing w:line="233" w:lineRule="atLeast"/>
        <w:ind w:left="710"/>
      </w:pPr>
      <w:r w:rsidRPr="000937A7">
        <w:rPr>
          <w:b/>
          <w:bCs/>
        </w:rPr>
        <w:t xml:space="preserve">Egyéb káros hatások: </w:t>
      </w:r>
      <w:r w:rsidRPr="000937A7">
        <w:t>nem áll rendelkezésre adat.</w:t>
      </w:r>
    </w:p>
    <w:p w:rsidR="00523292" w:rsidRPr="000937A7" w:rsidRDefault="007A51B4">
      <w:pPr>
        <w:pStyle w:val="CM2"/>
        <w:ind w:left="710" w:hanging="710"/>
      </w:pPr>
      <w:r w:rsidRPr="000937A7">
        <w:rPr>
          <w:b/>
          <w:bCs/>
        </w:rPr>
        <w:t xml:space="preserve">13. </w:t>
      </w:r>
      <w:r w:rsidRPr="000937A7">
        <w:rPr>
          <w:b/>
          <w:bCs/>
        </w:rPr>
        <w:tab/>
        <w:t xml:space="preserve">Ártalmatlanítási szempontok </w:t>
      </w:r>
    </w:p>
    <w:p w:rsidR="000937A7" w:rsidRDefault="007A51B4">
      <w:pPr>
        <w:pStyle w:val="CM12"/>
        <w:spacing w:line="233" w:lineRule="atLeast"/>
        <w:ind w:left="710"/>
      </w:pPr>
      <w:r w:rsidRPr="000937A7">
        <w:t xml:space="preserve">A készítmény maradékainak kezelése és ártalmatlanítása a 98/2001 (VI. 15.) Korm. </w:t>
      </w:r>
      <w:proofErr w:type="gramStart"/>
      <w:r w:rsidRPr="000937A7">
        <w:t>rendeletben  {</w:t>
      </w:r>
      <w:proofErr w:type="gramEnd"/>
      <w:r w:rsidRPr="000937A7">
        <w:t>módosítja:</w:t>
      </w:r>
    </w:p>
    <w:p w:rsidR="000937A7" w:rsidRDefault="007A51B4">
      <w:pPr>
        <w:pStyle w:val="CM12"/>
        <w:spacing w:line="233" w:lineRule="atLeast"/>
        <w:ind w:left="710"/>
      </w:pPr>
      <w:r w:rsidRPr="000937A7">
        <w:t>340/2004 (XII. 22.) Korm. rendelet; 313/2005 (XII. 25.) Korm. rendelet</w:t>
      </w:r>
      <w:proofErr w:type="gramStart"/>
      <w:r w:rsidRPr="000937A7">
        <w:t>} ,</w:t>
      </w:r>
      <w:proofErr w:type="gramEnd"/>
      <w:r w:rsidRPr="000937A7">
        <w:t xml:space="preserve"> és a 16/2001 (VII. 18.) KöM</w:t>
      </w:r>
      <w:r w:rsidR="000937A7">
        <w:t xml:space="preserve"> </w:t>
      </w:r>
      <w:r w:rsidRPr="000937A7">
        <w:t xml:space="preserve">rendeletben </w:t>
      </w:r>
      <w:proofErr w:type="gramStart"/>
      <w:r w:rsidRPr="000937A7">
        <w:t>{ módosítja</w:t>
      </w:r>
      <w:proofErr w:type="gramEnd"/>
      <w:r w:rsidRPr="000937A7">
        <w:t xml:space="preserve">:  22/2004 (XII.11.) </w:t>
      </w:r>
      <w:proofErr w:type="spellStart"/>
      <w:r w:rsidRPr="000937A7">
        <w:t>KvVM</w:t>
      </w:r>
      <w:proofErr w:type="spellEnd"/>
      <w:r w:rsidRPr="000937A7">
        <w:t xml:space="preserve"> rendelet} foglaltak szerint.</w:t>
      </w:r>
      <w:r w:rsidR="000937A7">
        <w:t xml:space="preserve"> </w:t>
      </w:r>
    </w:p>
    <w:p w:rsidR="000937A7" w:rsidRDefault="007A51B4">
      <w:pPr>
        <w:pStyle w:val="CM12"/>
        <w:spacing w:line="233" w:lineRule="atLeast"/>
        <w:ind w:left="710"/>
      </w:pPr>
      <w:r w:rsidRPr="000937A7">
        <w:rPr>
          <w:b/>
          <w:bCs/>
        </w:rPr>
        <w:lastRenderedPageBreak/>
        <w:t xml:space="preserve">Termék: </w:t>
      </w:r>
      <w:r w:rsidRPr="000937A7">
        <w:t>Veszélyes hulladékként ártalmatlanítandó.</w:t>
      </w:r>
    </w:p>
    <w:p w:rsidR="000937A7" w:rsidRDefault="007A51B4">
      <w:pPr>
        <w:pStyle w:val="CM12"/>
        <w:spacing w:line="233" w:lineRule="atLeast"/>
        <w:ind w:left="710"/>
      </w:pPr>
      <w:r w:rsidRPr="000937A7">
        <w:t>V szám: V 59401 mosószerek előállításából, tárolásából, felhasználásából származó hulladékok.</w:t>
      </w:r>
    </w:p>
    <w:p w:rsidR="000937A7" w:rsidRDefault="007A51B4">
      <w:pPr>
        <w:pStyle w:val="CM12"/>
        <w:spacing w:line="233" w:lineRule="atLeast"/>
        <w:ind w:left="710"/>
      </w:pPr>
      <w:r w:rsidRPr="000937A7">
        <w:rPr>
          <w:b/>
          <w:bCs/>
        </w:rPr>
        <w:t xml:space="preserve">Hulladékjegyzék kód: </w:t>
      </w:r>
      <w:r w:rsidRPr="000937A7">
        <w:t>A termékre nem adható meg megfelelő hulladékjegyzék kód mivel ennek</w:t>
      </w:r>
      <w:r w:rsidRPr="000937A7">
        <w:br/>
        <w:t>beazonosítása a felhasználó által meghatározott felhasználási mód segítségével lehetséges. A hulladékjegyzék</w:t>
      </w:r>
      <w:r w:rsidR="000937A7">
        <w:t xml:space="preserve"> </w:t>
      </w:r>
      <w:r w:rsidRPr="000937A7">
        <w:t>kód a Közösségen belül az ártalmatlanítást végző szakemberrel folytatott egyeztetést követően adható meg.</w:t>
      </w:r>
    </w:p>
    <w:p w:rsidR="00523292" w:rsidRPr="000937A7" w:rsidRDefault="007A51B4">
      <w:pPr>
        <w:pStyle w:val="CM12"/>
        <w:spacing w:line="233" w:lineRule="atLeast"/>
        <w:ind w:left="710"/>
      </w:pPr>
      <w:r w:rsidRPr="000937A7">
        <w:rPr>
          <w:b/>
          <w:bCs/>
        </w:rPr>
        <w:t xml:space="preserve">Csomagolás: </w:t>
      </w:r>
      <w:r w:rsidRPr="000937A7">
        <w:t>A termékre vonatkozó előírásoknak megfelelően ártalmatlanítandó.</w:t>
      </w:r>
    </w:p>
    <w:p w:rsidR="00442C16" w:rsidRDefault="007A51B4" w:rsidP="00C71946">
      <w:pPr>
        <w:pStyle w:val="CM12"/>
        <w:spacing w:line="240" w:lineRule="atLeast"/>
        <w:ind w:left="709" w:hanging="709"/>
        <w:rPr>
          <w:b/>
          <w:bCs/>
        </w:rPr>
      </w:pPr>
      <w:r w:rsidRPr="000937A7">
        <w:rPr>
          <w:b/>
          <w:bCs/>
        </w:rPr>
        <w:t>14.</w:t>
      </w:r>
      <w:r w:rsidRPr="000937A7">
        <w:rPr>
          <w:b/>
          <w:bCs/>
        </w:rPr>
        <w:tab/>
        <w:t xml:space="preserve">Szállítási információk </w:t>
      </w:r>
    </w:p>
    <w:p w:rsidR="00523292" w:rsidRPr="000937A7" w:rsidRDefault="007A51B4" w:rsidP="00C71946">
      <w:pPr>
        <w:pStyle w:val="CM12"/>
        <w:spacing w:line="240" w:lineRule="atLeast"/>
        <w:ind w:left="709" w:hanging="709"/>
      </w:pPr>
      <w:r w:rsidRPr="000937A7">
        <w:rPr>
          <w:b/>
          <w:bCs/>
        </w:rPr>
        <w:t xml:space="preserve">Nem minősül </w:t>
      </w:r>
      <w:r w:rsidR="00C71946" w:rsidRPr="000937A7">
        <w:rPr>
          <w:b/>
          <w:bCs/>
        </w:rPr>
        <w:t>v</w:t>
      </w:r>
      <w:r w:rsidRPr="000937A7">
        <w:rPr>
          <w:b/>
          <w:bCs/>
        </w:rPr>
        <w:t xml:space="preserve">eszélyes szállítmánynak! </w:t>
      </w:r>
    </w:p>
    <w:p w:rsidR="00523292" w:rsidRDefault="007A51B4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15. Szabályozási információk </w:t>
      </w:r>
    </w:p>
    <w:p w:rsidR="00523292" w:rsidRDefault="007A51B4">
      <w:pPr>
        <w:pStyle w:val="CM12"/>
      </w:pPr>
      <w:r>
        <w:t xml:space="preserve">15.1 </w:t>
      </w:r>
      <w:r>
        <w:rPr>
          <w:u w:val="single"/>
        </w:rPr>
        <w:t>Kémiai biztonsági értékelés:</w:t>
      </w:r>
      <w:r>
        <w:t xml:space="preserve"> </w:t>
      </w:r>
    </w:p>
    <w:p w:rsidR="00523292" w:rsidRDefault="007A51B4">
      <w:pPr>
        <w:pStyle w:val="CM12"/>
      </w:pPr>
      <w:r>
        <w:t xml:space="preserve">15.2 </w:t>
      </w:r>
      <w:r>
        <w:rPr>
          <w:u w:val="single"/>
        </w:rPr>
        <w:t xml:space="preserve">Címkézésre vonatkozó előírások: </w:t>
      </w:r>
    </w:p>
    <w:p w:rsidR="00523292" w:rsidRPr="000937A7" w:rsidRDefault="007A51B4">
      <w:pPr>
        <w:pStyle w:val="CM15"/>
        <w:ind w:left="710"/>
      </w:pPr>
      <w:proofErr w:type="spellStart"/>
      <w:r w:rsidRPr="000937A7">
        <w:t>Veszélyszinbólum</w:t>
      </w:r>
      <w:proofErr w:type="spellEnd"/>
      <w:r w:rsidRPr="000937A7">
        <w:t xml:space="preserve">: </w:t>
      </w:r>
      <w:r w:rsidRPr="000937A7">
        <w:rPr>
          <w:b/>
          <w:bCs/>
        </w:rPr>
        <w:t xml:space="preserve">Nem jelölésköteles! </w:t>
      </w:r>
    </w:p>
    <w:p w:rsidR="000937A7" w:rsidRPr="000937A7" w:rsidRDefault="000937A7" w:rsidP="000937A7">
      <w:pPr>
        <w:spacing w:before="240" w:after="120" w:line="320" w:lineRule="exact"/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A7">
        <w:rPr>
          <w:rFonts w:ascii="Times New Roman" w:hAnsi="Times New Roman" w:cs="Times New Roman"/>
          <w:b/>
          <w:i/>
          <w:sz w:val="24"/>
          <w:szCs w:val="24"/>
        </w:rPr>
        <w:t>R-mondatok</w:t>
      </w:r>
      <w:r w:rsidRPr="000937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37A7">
        <w:rPr>
          <w:rFonts w:ascii="Times New Roman" w:hAnsi="Times New Roman" w:cs="Times New Roman"/>
          <w:snapToGrid w:val="0"/>
          <w:sz w:val="24"/>
          <w:szCs w:val="24"/>
        </w:rPr>
        <w:t>nem jelölésköteles</w:t>
      </w:r>
    </w:p>
    <w:p w:rsidR="000937A7" w:rsidRPr="000937A7" w:rsidRDefault="000937A7" w:rsidP="000937A7">
      <w:pPr>
        <w:spacing w:before="240" w:after="120" w:line="320" w:lineRule="exact"/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7A7">
        <w:rPr>
          <w:rFonts w:ascii="Times New Roman" w:hAnsi="Times New Roman" w:cs="Times New Roman"/>
          <w:b/>
          <w:i/>
          <w:sz w:val="24"/>
          <w:szCs w:val="24"/>
        </w:rPr>
        <w:t>S-mondatok</w:t>
      </w:r>
      <w:r w:rsidRPr="000937A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3" w:type="dxa"/>
        <w:tblInd w:w="288" w:type="dxa"/>
        <w:tblLook w:val="01E0"/>
      </w:tblPr>
      <w:tblGrid>
        <w:gridCol w:w="1521"/>
        <w:gridCol w:w="8222"/>
      </w:tblGrid>
      <w:tr w:rsidR="000937A7" w:rsidRPr="000937A7" w:rsidTr="006F2873">
        <w:tc>
          <w:tcPr>
            <w:tcW w:w="1521" w:type="dxa"/>
          </w:tcPr>
          <w:p w:rsidR="000937A7" w:rsidRPr="000937A7" w:rsidRDefault="000937A7" w:rsidP="006F2873">
            <w:pPr>
              <w:overflowPunct w:val="0"/>
              <w:adjustRightInd w:val="0"/>
              <w:spacing w:line="320" w:lineRule="exact"/>
              <w:ind w:right="-5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 2</w:t>
            </w:r>
          </w:p>
        </w:tc>
        <w:tc>
          <w:tcPr>
            <w:tcW w:w="8222" w:type="dxa"/>
          </w:tcPr>
          <w:p w:rsidR="000937A7" w:rsidRPr="000937A7" w:rsidRDefault="000937A7" w:rsidP="006F2873">
            <w:pPr>
              <w:overflowPunct w:val="0"/>
              <w:adjustRightInd w:val="0"/>
              <w:spacing w:line="320" w:lineRule="exact"/>
              <w:ind w:right="-5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sz w:val="24"/>
                <w:szCs w:val="24"/>
              </w:rPr>
              <w:t>Gyermekek kezébe nem kerülhet</w:t>
            </w:r>
          </w:p>
        </w:tc>
      </w:tr>
      <w:tr w:rsidR="000937A7" w:rsidRPr="000937A7" w:rsidTr="006F2873">
        <w:tc>
          <w:tcPr>
            <w:tcW w:w="1521" w:type="dxa"/>
          </w:tcPr>
          <w:p w:rsidR="000937A7" w:rsidRPr="000937A7" w:rsidRDefault="000937A7" w:rsidP="006F2873">
            <w:pPr>
              <w:adjustRightInd w:val="0"/>
              <w:ind w:left="-4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24/25</w:t>
            </w:r>
          </w:p>
        </w:tc>
        <w:tc>
          <w:tcPr>
            <w:tcW w:w="8222" w:type="dxa"/>
          </w:tcPr>
          <w:p w:rsidR="000937A7" w:rsidRPr="000937A7" w:rsidRDefault="000937A7" w:rsidP="006F2873">
            <w:pPr>
              <w:adjustRightInd w:val="0"/>
              <w:ind w:left="-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sz w:val="24"/>
                <w:szCs w:val="24"/>
              </w:rPr>
              <w:t>Kerülni kell a bőrrel való érintkezést és a szembejutást</w:t>
            </w:r>
          </w:p>
        </w:tc>
      </w:tr>
      <w:tr w:rsidR="000937A7" w:rsidRPr="000937A7" w:rsidTr="006F2873">
        <w:tc>
          <w:tcPr>
            <w:tcW w:w="1521" w:type="dxa"/>
          </w:tcPr>
          <w:p w:rsidR="000937A7" w:rsidRPr="000937A7" w:rsidRDefault="000937A7" w:rsidP="006F2873">
            <w:pPr>
              <w:adjustRightInd w:val="0"/>
              <w:ind w:left="-4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26</w:t>
            </w:r>
          </w:p>
        </w:tc>
        <w:tc>
          <w:tcPr>
            <w:tcW w:w="8222" w:type="dxa"/>
          </w:tcPr>
          <w:p w:rsidR="000937A7" w:rsidRPr="000937A7" w:rsidRDefault="000937A7" w:rsidP="006F2873">
            <w:pPr>
              <w:adjustRightInd w:val="0"/>
              <w:ind w:left="-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sz w:val="24"/>
                <w:szCs w:val="24"/>
              </w:rPr>
              <w:t>Ha szembe jut, bő vízzel azonnal ki kell mosni és orvoshoz kell fordulni</w:t>
            </w:r>
          </w:p>
        </w:tc>
      </w:tr>
      <w:tr w:rsidR="000937A7" w:rsidRPr="000937A7" w:rsidTr="006F2873">
        <w:tc>
          <w:tcPr>
            <w:tcW w:w="1521" w:type="dxa"/>
          </w:tcPr>
          <w:p w:rsidR="000937A7" w:rsidRPr="000937A7" w:rsidRDefault="000937A7" w:rsidP="006F2873">
            <w:pPr>
              <w:adjustRightInd w:val="0"/>
              <w:ind w:left="-4" w:right="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37</w:t>
            </w:r>
          </w:p>
        </w:tc>
        <w:tc>
          <w:tcPr>
            <w:tcW w:w="8222" w:type="dxa"/>
          </w:tcPr>
          <w:p w:rsidR="000937A7" w:rsidRPr="000937A7" w:rsidRDefault="000937A7" w:rsidP="006F2873">
            <w:pPr>
              <w:adjustRightInd w:val="0"/>
              <w:ind w:left="-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sz w:val="24"/>
                <w:szCs w:val="24"/>
              </w:rPr>
              <w:t>Megfelelő védőkesztyűt kell viselni</w:t>
            </w:r>
          </w:p>
        </w:tc>
      </w:tr>
    </w:tbl>
    <w:p w:rsidR="000937A7" w:rsidRPr="000937A7" w:rsidRDefault="000937A7" w:rsidP="000937A7">
      <w:pPr>
        <w:spacing w:before="240" w:after="120" w:line="320" w:lineRule="exact"/>
        <w:ind w:right="-5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937A7">
        <w:rPr>
          <w:rFonts w:ascii="Times New Roman" w:hAnsi="Times New Roman" w:cs="Times New Roman"/>
          <w:b/>
          <w:i/>
          <w:snapToGrid w:val="0"/>
          <w:sz w:val="24"/>
          <w:szCs w:val="24"/>
        </w:rPr>
        <w:t>Különleges S-mondatok</w:t>
      </w:r>
      <w:r w:rsidRPr="000937A7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</w:p>
    <w:tbl>
      <w:tblPr>
        <w:tblW w:w="9743" w:type="dxa"/>
        <w:tblInd w:w="288" w:type="dxa"/>
        <w:tblLook w:val="01E0"/>
      </w:tblPr>
      <w:tblGrid>
        <w:gridCol w:w="1521"/>
        <w:gridCol w:w="8222"/>
      </w:tblGrid>
      <w:tr w:rsidR="000937A7" w:rsidRPr="000937A7" w:rsidTr="006F2873">
        <w:tc>
          <w:tcPr>
            <w:tcW w:w="1521" w:type="dxa"/>
          </w:tcPr>
          <w:p w:rsidR="000937A7" w:rsidRPr="000937A7" w:rsidRDefault="000937A7" w:rsidP="006F2873">
            <w:pPr>
              <w:overflowPunct w:val="0"/>
              <w:adjustRightInd w:val="0"/>
              <w:spacing w:line="320" w:lineRule="exact"/>
              <w:ind w:right="-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b/>
                <w:sz w:val="24"/>
                <w:szCs w:val="24"/>
              </w:rPr>
              <w:t>SP 1</w:t>
            </w:r>
          </w:p>
        </w:tc>
        <w:tc>
          <w:tcPr>
            <w:tcW w:w="8222" w:type="dxa"/>
          </w:tcPr>
          <w:p w:rsidR="000937A7" w:rsidRPr="000937A7" w:rsidRDefault="000937A7" w:rsidP="006F2873">
            <w:pPr>
              <w:overflowPunct w:val="0"/>
              <w:adjustRightInd w:val="0"/>
              <w:spacing w:line="320" w:lineRule="exact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sz w:val="24"/>
                <w:szCs w:val="24"/>
              </w:rPr>
              <w:t>A növényvédő szerrel vagy annak csomagolóeszközével ne szennyezze a vizeket! (A berendezést vagy annak részeit ne tisztítsa felszíni vizek közelében! Kerülje a gazdaságban vagy az utakon levő vízvezetőkön keresztül való szennyeződést!)</w:t>
            </w:r>
          </w:p>
        </w:tc>
      </w:tr>
      <w:tr w:rsidR="000937A7" w:rsidRPr="000937A7" w:rsidTr="006F2873">
        <w:tc>
          <w:tcPr>
            <w:tcW w:w="1521" w:type="dxa"/>
          </w:tcPr>
          <w:p w:rsidR="000937A7" w:rsidRPr="000937A7" w:rsidRDefault="000937A7" w:rsidP="006F2873">
            <w:pPr>
              <w:overflowPunct w:val="0"/>
              <w:adjustRightInd w:val="0"/>
              <w:spacing w:line="320" w:lineRule="exact"/>
              <w:ind w:right="-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37A7">
              <w:rPr>
                <w:rFonts w:ascii="Times New Roman" w:hAnsi="Times New Roman" w:cs="Times New Roman"/>
                <w:b/>
                <w:sz w:val="24"/>
                <w:szCs w:val="24"/>
              </w:rPr>
              <w:t>SPe</w:t>
            </w:r>
            <w:proofErr w:type="spellEnd"/>
            <w:r w:rsidRPr="00093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222" w:type="dxa"/>
          </w:tcPr>
          <w:p w:rsidR="000937A7" w:rsidRPr="000937A7" w:rsidRDefault="000937A7" w:rsidP="006F2873">
            <w:pPr>
              <w:overflowPunct w:val="0"/>
              <w:adjustRightInd w:val="0"/>
              <w:spacing w:before="20" w:line="320" w:lineRule="exact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A7">
              <w:rPr>
                <w:rFonts w:ascii="Times New Roman" w:hAnsi="Times New Roman" w:cs="Times New Roman"/>
                <w:sz w:val="24"/>
                <w:szCs w:val="24"/>
              </w:rPr>
              <w:t xml:space="preserve">A vízi szervezetek védelme érdekében a felszíni vizektől </w:t>
            </w:r>
            <w:r w:rsidRPr="000937A7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>5 m</w:t>
            </w:r>
            <w:r w:rsidRPr="000937A7">
              <w:rPr>
                <w:rFonts w:ascii="Times New Roman" w:hAnsi="Times New Roman" w:cs="Times New Roman"/>
                <w:sz w:val="24"/>
                <w:szCs w:val="24"/>
              </w:rPr>
              <w:t xml:space="preserve"> távolságban tartson meg egy nem permetezett biztonsági övezetet!</w:t>
            </w:r>
          </w:p>
        </w:tc>
      </w:tr>
    </w:tbl>
    <w:p w:rsidR="000937A7" w:rsidRPr="000937A7" w:rsidRDefault="000937A7" w:rsidP="000937A7">
      <w:pPr>
        <w:pStyle w:val="Default"/>
      </w:pPr>
    </w:p>
    <w:p w:rsidR="00523292" w:rsidRDefault="007A51B4">
      <w:pPr>
        <w:pStyle w:val="CM12"/>
      </w:pPr>
      <w:r>
        <w:t xml:space="preserve">15.3 </w:t>
      </w:r>
      <w:r>
        <w:rPr>
          <w:u w:val="single"/>
        </w:rPr>
        <w:t>Engedélyek/korlátozások:</w:t>
      </w:r>
      <w:r>
        <w:t xml:space="preserve"> </w:t>
      </w:r>
    </w:p>
    <w:p w:rsidR="00523292" w:rsidRDefault="007A51B4">
      <w:pPr>
        <w:pStyle w:val="Default"/>
        <w:rPr>
          <w:color w:val="auto"/>
          <w:u w:val="single"/>
        </w:rPr>
      </w:pPr>
      <w:r>
        <w:rPr>
          <w:color w:val="auto"/>
        </w:rPr>
        <w:t xml:space="preserve">15.4 </w:t>
      </w:r>
      <w:r>
        <w:rPr>
          <w:color w:val="auto"/>
          <w:u w:val="single"/>
        </w:rPr>
        <w:t xml:space="preserve">Vonatkozó nemzeti és közösségi törvények és rendeletek: </w:t>
      </w:r>
    </w:p>
    <w:p w:rsidR="00C71946" w:rsidRDefault="00C71946">
      <w:pPr>
        <w:pStyle w:val="Default"/>
        <w:rPr>
          <w:color w:val="auto"/>
        </w:rPr>
      </w:pPr>
    </w:p>
    <w:p w:rsidR="00523292" w:rsidRPr="00C71946" w:rsidRDefault="007A51B4" w:rsidP="00C71946">
      <w:pPr>
        <w:pStyle w:val="Default"/>
        <w:numPr>
          <w:ilvl w:val="0"/>
          <w:numId w:val="9"/>
        </w:numPr>
        <w:rPr>
          <w:color w:val="auto"/>
        </w:rPr>
      </w:pPr>
      <w:r w:rsidRPr="00C71946">
        <w:rPr>
          <w:color w:val="auto"/>
          <w:sz w:val="20"/>
          <w:szCs w:val="20"/>
        </w:rPr>
        <w:t xml:space="preserve"> </w:t>
      </w:r>
      <w:proofErr w:type="gramStart"/>
      <w:r w:rsidRPr="00C71946">
        <w:rPr>
          <w:color w:val="auto"/>
        </w:rPr>
        <w:t xml:space="preserve">REACH nemzetközi szabályozás: Az Európai Parlament és a Tanács </w:t>
      </w:r>
      <w:r w:rsidRPr="00C71946">
        <w:rPr>
          <w:b/>
          <w:bCs/>
          <w:color w:val="auto"/>
        </w:rPr>
        <w:t>1907/2006/EK rendelete</w:t>
      </w:r>
      <w:r w:rsidRPr="00C71946">
        <w:rPr>
          <w:color w:val="auto"/>
        </w:rPr>
        <w:t xml:space="preserve"> (2006 dec.18) a vegyi anyagok regisztrálásáról értékeléséről, engedélyezéséről és korlátozásáról (REACH) az Európai Vegyianyag-ügynökség    létrehozásáról, az 1999/45/EK irányelv módosításáról, valamint a 793/93/EGK tanácsi rendelet, az 1488/94/EK biztonsági rendelet, a 76/796/EGK tanácsi irányelv,a 91/155/EGK.</w:t>
      </w:r>
      <w:proofErr w:type="gramEnd"/>
      <w:r w:rsidRPr="00C71946">
        <w:rPr>
          <w:color w:val="auto"/>
        </w:rPr>
        <w:t xml:space="preserve"> A 93/67/EGK a 93/105/EK és a 2000/21/EK bizottsági irányelv hatályon kívül </w:t>
      </w:r>
      <w:r w:rsidRPr="00C71946">
        <w:rPr>
          <w:color w:val="auto"/>
        </w:rPr>
        <w:lastRenderedPageBreak/>
        <w:t xml:space="preserve">helyezéséről. </w:t>
      </w:r>
    </w:p>
    <w:p w:rsidR="00523292" w:rsidRPr="00C71946" w:rsidRDefault="007A51B4">
      <w:pPr>
        <w:pStyle w:val="Default"/>
        <w:numPr>
          <w:ilvl w:val="0"/>
          <w:numId w:val="9"/>
        </w:numPr>
        <w:rPr>
          <w:color w:val="auto"/>
        </w:rPr>
      </w:pPr>
      <w:r w:rsidRPr="00C71946">
        <w:rPr>
          <w:color w:val="auto"/>
        </w:rPr>
        <w:t xml:space="preserve">Veszélyes anyagokkal kapcsolatos rendeletek: </w:t>
      </w:r>
      <w:r w:rsidRPr="00C71946">
        <w:rPr>
          <w:b/>
          <w:bCs/>
          <w:color w:val="auto"/>
        </w:rPr>
        <w:t xml:space="preserve">2000. évi XXV törvény </w:t>
      </w:r>
      <w:r w:rsidRPr="00C71946">
        <w:rPr>
          <w:color w:val="auto"/>
        </w:rPr>
        <w:t xml:space="preserve">a kémiai biztonságról, [ módosítja a 2004. évi XXVI. törvény; 2004. évi </w:t>
      </w:r>
      <w:proofErr w:type="gramStart"/>
      <w:r w:rsidRPr="00C71946">
        <w:rPr>
          <w:color w:val="auto"/>
        </w:rPr>
        <w:t>CXL  törvény</w:t>
      </w:r>
      <w:proofErr w:type="gramEnd"/>
      <w:r w:rsidRPr="00C71946">
        <w:rPr>
          <w:color w:val="auto"/>
        </w:rPr>
        <w:t xml:space="preserve"> ; 2005. évi CXXVII tv.] és vonatkozó rendeletei: </w:t>
      </w:r>
      <w:r w:rsidRPr="00C71946">
        <w:rPr>
          <w:b/>
          <w:bCs/>
          <w:color w:val="auto"/>
        </w:rPr>
        <w:t xml:space="preserve">44/2000 (XII.27.) EüM rendelet </w:t>
      </w:r>
      <w:r w:rsidRPr="00C71946">
        <w:rPr>
          <w:color w:val="auto"/>
        </w:rPr>
        <w:t xml:space="preserve">[módosítja a 33/2004 (IV.26.) </w:t>
      </w:r>
      <w:proofErr w:type="spellStart"/>
      <w:r w:rsidRPr="00C71946">
        <w:rPr>
          <w:color w:val="auto"/>
        </w:rPr>
        <w:t>EszCsM</w:t>
      </w:r>
      <w:proofErr w:type="spellEnd"/>
      <w:r w:rsidRPr="00C71946">
        <w:rPr>
          <w:color w:val="auto"/>
        </w:rPr>
        <w:t xml:space="preserve">; </w:t>
      </w:r>
    </w:p>
    <w:p w:rsidR="007A51B4" w:rsidRPr="00C71946" w:rsidRDefault="007A51B4">
      <w:pPr>
        <w:pStyle w:val="Default"/>
        <w:rPr>
          <w:color w:val="auto"/>
        </w:rPr>
      </w:pPr>
    </w:p>
    <w:sectPr w:rsidR="007A51B4" w:rsidRPr="00C71946" w:rsidSect="00523292">
      <w:type w:val="continuous"/>
      <w:pgSz w:w="11900" w:h="16840"/>
      <w:pgMar w:top="1100" w:right="860" w:bottom="1100" w:left="98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42351"/>
    <w:multiLevelType w:val="hybridMultilevel"/>
    <w:tmpl w:val="69D8D9C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DADF2C"/>
    <w:multiLevelType w:val="hybridMultilevel"/>
    <w:tmpl w:val="7583E1F5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37ED65"/>
    <w:multiLevelType w:val="hybridMultilevel"/>
    <w:tmpl w:val="AB44307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9E382BE"/>
    <w:multiLevelType w:val="hybridMultilevel"/>
    <w:tmpl w:val="9679A20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2AB3D0"/>
    <w:multiLevelType w:val="multilevel"/>
    <w:tmpl w:val="EC5AF242"/>
    <w:lvl w:ilvl="0">
      <w:start w:val="1"/>
      <w:numFmt w:val="decimal"/>
      <w:lvlText w:val="%1"/>
      <w:lvlJc w:val="left"/>
    </w:lvl>
    <w:lvl w:ilvl="1">
      <w:start w:val="1"/>
      <w:numFmt w:val="decimal"/>
      <w:lvlText w:null="1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88ADEA"/>
    <w:multiLevelType w:val="hybridMultilevel"/>
    <w:tmpl w:val="5E3F652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AE03261"/>
    <w:multiLevelType w:val="hybridMultilevel"/>
    <w:tmpl w:val="C510249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299E68C"/>
    <w:multiLevelType w:val="hybridMultilevel"/>
    <w:tmpl w:val="F0EFE8F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120617D"/>
    <w:multiLevelType w:val="multilevel"/>
    <w:tmpl w:val="A11E98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>
    <w:nsid w:val="656522E0"/>
    <w:multiLevelType w:val="hybridMultilevel"/>
    <w:tmpl w:val="1C734E1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8453113"/>
    <w:multiLevelType w:val="multilevel"/>
    <w:tmpl w:val="B994E64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40F38"/>
    <w:rsid w:val="000937A7"/>
    <w:rsid w:val="001D396B"/>
    <w:rsid w:val="00442C16"/>
    <w:rsid w:val="00523292"/>
    <w:rsid w:val="00693B63"/>
    <w:rsid w:val="007A51B4"/>
    <w:rsid w:val="00B40F38"/>
    <w:rsid w:val="00C71946"/>
    <w:rsid w:val="00D6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2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23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523292"/>
    <w:pPr>
      <w:spacing w:after="27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523292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523292"/>
    <w:pPr>
      <w:spacing w:after="54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523292"/>
    <w:rPr>
      <w:color w:val="auto"/>
    </w:rPr>
  </w:style>
  <w:style w:type="paragraph" w:customStyle="1" w:styleId="CM3">
    <w:name w:val="CM3"/>
    <w:basedOn w:val="Default"/>
    <w:next w:val="Default"/>
    <w:uiPriority w:val="99"/>
    <w:rsid w:val="00523292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23292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23292"/>
    <w:pPr>
      <w:spacing w:line="23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23292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523292"/>
    <w:pPr>
      <w:spacing w:after="793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23292"/>
    <w:pPr>
      <w:spacing w:after="215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23292"/>
    <w:pPr>
      <w:spacing w:line="23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523292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23292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pPr>
      <w:spacing w:after="27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540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after="793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Friderika</dc:creator>
  <cp:lastModifiedBy>G</cp:lastModifiedBy>
  <cp:revision>2</cp:revision>
  <dcterms:created xsi:type="dcterms:W3CDTF">2013-04-15T08:30:00Z</dcterms:created>
  <dcterms:modified xsi:type="dcterms:W3CDTF">2013-04-15T08:30:00Z</dcterms:modified>
</cp:coreProperties>
</file>